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CB3" w:rsidRDefault="00E77CB3" w:rsidP="00E77CB3">
      <w:pPr>
        <w:jc w:val="center"/>
        <w:rPr>
          <w:lang w:val="fr-FR"/>
        </w:rPr>
      </w:pPr>
      <w:bookmarkStart w:id="0" w:name="_GoBack"/>
      <w:bookmarkEnd w:id="0"/>
    </w:p>
    <w:p w:rsidR="001715D2" w:rsidRDefault="001715D2" w:rsidP="00E77CB3">
      <w:pPr>
        <w:jc w:val="center"/>
        <w:rPr>
          <w:lang w:val="fr-FR"/>
        </w:rPr>
      </w:pPr>
    </w:p>
    <w:p w:rsidR="001715D2" w:rsidRPr="001F576E" w:rsidRDefault="001715D2" w:rsidP="00E77CB3">
      <w:pPr>
        <w:jc w:val="center"/>
        <w:rPr>
          <w:lang w:val="fr-FR"/>
        </w:rPr>
      </w:pPr>
    </w:p>
    <w:p w:rsidR="00E77CB3" w:rsidRPr="001F576E" w:rsidRDefault="00863E96" w:rsidP="00E77CB3">
      <w:pPr>
        <w:jc w:val="center"/>
        <w:rPr>
          <w:lang w:val="fr-FR"/>
        </w:rPr>
      </w:pPr>
      <w:r>
        <w:rPr>
          <w:lang w:val="fr-FR"/>
        </w:rPr>
        <w:t>QUATRIÈME SECTION</w:t>
      </w:r>
    </w:p>
    <w:p w:rsidR="00E77CB3" w:rsidRDefault="00E77CB3" w:rsidP="00E77CB3">
      <w:pPr>
        <w:jc w:val="center"/>
        <w:rPr>
          <w:lang w:val="fr-FR"/>
        </w:rPr>
      </w:pPr>
    </w:p>
    <w:p w:rsidR="001715D2" w:rsidRDefault="001715D2" w:rsidP="00E77CB3">
      <w:pPr>
        <w:jc w:val="center"/>
        <w:rPr>
          <w:lang w:val="fr-FR"/>
        </w:rPr>
      </w:pPr>
    </w:p>
    <w:p w:rsidR="001715D2" w:rsidRDefault="001715D2" w:rsidP="00E77CB3">
      <w:pPr>
        <w:jc w:val="center"/>
        <w:rPr>
          <w:lang w:val="fr-FR"/>
        </w:rPr>
      </w:pPr>
    </w:p>
    <w:p w:rsidR="001715D2" w:rsidRDefault="001715D2" w:rsidP="00E77CB3">
      <w:pPr>
        <w:jc w:val="center"/>
        <w:rPr>
          <w:lang w:val="fr-FR"/>
        </w:rPr>
      </w:pPr>
    </w:p>
    <w:p w:rsidR="001715D2" w:rsidRDefault="001715D2" w:rsidP="00E77CB3">
      <w:pPr>
        <w:jc w:val="center"/>
        <w:rPr>
          <w:lang w:val="fr-FR"/>
        </w:rPr>
      </w:pPr>
    </w:p>
    <w:p w:rsidR="001715D2" w:rsidRPr="001F576E" w:rsidRDefault="001715D2" w:rsidP="00E77CB3">
      <w:pPr>
        <w:jc w:val="center"/>
        <w:rPr>
          <w:lang w:val="fr-FR"/>
        </w:rPr>
      </w:pPr>
    </w:p>
    <w:p w:rsidR="00E77CB3" w:rsidRPr="001F576E" w:rsidRDefault="00E77CB3" w:rsidP="00E77CB3">
      <w:pPr>
        <w:jc w:val="center"/>
        <w:rPr>
          <w:b/>
          <w:lang w:val="fr-FR"/>
        </w:rPr>
      </w:pPr>
      <w:bookmarkStart w:id="1" w:name="To"/>
      <w:r w:rsidRPr="001F576E">
        <w:rPr>
          <w:b/>
          <w:lang w:val="fr-FR"/>
        </w:rPr>
        <w:t xml:space="preserve">AFFAIRE </w:t>
      </w:r>
      <w:bookmarkEnd w:id="1"/>
      <w:r w:rsidR="008D3950">
        <w:rPr>
          <w:b/>
          <w:lang w:val="fr-FR"/>
        </w:rPr>
        <w:t>S.</w:t>
      </w:r>
      <w:r w:rsidR="00863E96">
        <w:rPr>
          <w:b/>
          <w:lang w:val="fr-FR"/>
        </w:rPr>
        <w:t>H</w:t>
      </w:r>
      <w:r w:rsidR="008D3950">
        <w:rPr>
          <w:b/>
          <w:lang w:val="fr-FR"/>
        </w:rPr>
        <w:t>.</w:t>
      </w:r>
      <w:r w:rsidR="00863E96">
        <w:rPr>
          <w:b/>
          <w:lang w:val="fr-FR"/>
        </w:rPr>
        <w:t xml:space="preserve"> c. ITALIE</w:t>
      </w:r>
    </w:p>
    <w:p w:rsidR="00E77CB3" w:rsidRPr="001F576E" w:rsidRDefault="00E77CB3" w:rsidP="00E77CB3">
      <w:pPr>
        <w:jc w:val="center"/>
        <w:rPr>
          <w:lang w:val="fr-FR"/>
        </w:rPr>
      </w:pPr>
    </w:p>
    <w:p w:rsidR="001715D2" w:rsidRDefault="00E77CB3" w:rsidP="001715D2">
      <w:pPr>
        <w:jc w:val="center"/>
        <w:rPr>
          <w:rStyle w:val="JuParaCar"/>
          <w:lang w:val="fr-FR"/>
        </w:rPr>
      </w:pPr>
      <w:r w:rsidRPr="001F576E">
        <w:rPr>
          <w:i/>
          <w:lang w:val="fr-FR"/>
        </w:rPr>
        <w:t>(</w:t>
      </w:r>
      <w:r w:rsidR="00863E96" w:rsidRPr="001F576E">
        <w:rPr>
          <w:i/>
          <w:lang w:val="fr-FR"/>
        </w:rPr>
        <w:t>Requête n</w:t>
      </w:r>
      <w:r w:rsidR="00863E96" w:rsidRPr="001F576E">
        <w:rPr>
          <w:i/>
          <w:vertAlign w:val="superscript"/>
          <w:lang w:val="fr-FR"/>
        </w:rPr>
        <w:t>o</w:t>
      </w:r>
      <w:r w:rsidR="00863E96" w:rsidRPr="001F576E">
        <w:rPr>
          <w:i/>
          <w:lang w:val="fr-FR"/>
        </w:rPr>
        <w:t xml:space="preserve"> </w:t>
      </w:r>
      <w:r w:rsidR="00863E96">
        <w:rPr>
          <w:i/>
          <w:lang w:val="fr-FR"/>
        </w:rPr>
        <w:t>52557/14</w:t>
      </w:r>
      <w:r w:rsidRPr="001F576E">
        <w:rPr>
          <w:i/>
          <w:lang w:val="fr-FR"/>
        </w:rPr>
        <w:t>)</w:t>
      </w:r>
    </w:p>
    <w:p w:rsidR="001715D2" w:rsidRDefault="001715D2" w:rsidP="001715D2">
      <w:pPr>
        <w:jc w:val="center"/>
        <w:rPr>
          <w:rStyle w:val="JuParaCar"/>
          <w:lang w:val="fr-FR"/>
        </w:rPr>
      </w:pPr>
    </w:p>
    <w:p w:rsidR="001715D2" w:rsidRDefault="001715D2" w:rsidP="001715D2">
      <w:pPr>
        <w:jc w:val="center"/>
        <w:rPr>
          <w:rStyle w:val="JuParaCar"/>
          <w:lang w:val="fr-FR"/>
        </w:rPr>
      </w:pPr>
    </w:p>
    <w:p w:rsidR="001715D2" w:rsidRDefault="001715D2" w:rsidP="001715D2">
      <w:pPr>
        <w:jc w:val="center"/>
        <w:rPr>
          <w:rStyle w:val="JuParaCar"/>
          <w:lang w:val="fr-FR"/>
        </w:rPr>
      </w:pPr>
    </w:p>
    <w:p w:rsidR="001715D2" w:rsidRDefault="001715D2" w:rsidP="001715D2">
      <w:pPr>
        <w:jc w:val="center"/>
        <w:rPr>
          <w:rStyle w:val="JuParaCar"/>
          <w:lang w:val="fr-FR"/>
        </w:rPr>
      </w:pPr>
    </w:p>
    <w:p w:rsidR="001715D2" w:rsidRDefault="001715D2" w:rsidP="001715D2">
      <w:pPr>
        <w:jc w:val="center"/>
        <w:rPr>
          <w:rStyle w:val="JuParaCar"/>
          <w:lang w:val="fr-FR"/>
        </w:rPr>
      </w:pPr>
    </w:p>
    <w:p w:rsidR="001715D2" w:rsidRDefault="001715D2" w:rsidP="001715D2">
      <w:pPr>
        <w:jc w:val="center"/>
        <w:rPr>
          <w:rStyle w:val="JuParaCar"/>
          <w:lang w:val="fr-FR"/>
        </w:rPr>
      </w:pPr>
    </w:p>
    <w:p w:rsidR="001715D2" w:rsidRDefault="001715D2" w:rsidP="001715D2">
      <w:pPr>
        <w:jc w:val="center"/>
        <w:rPr>
          <w:rStyle w:val="JuParaCar"/>
          <w:lang w:val="fr-FR"/>
        </w:rPr>
      </w:pPr>
    </w:p>
    <w:p w:rsidR="001715D2" w:rsidRDefault="001715D2" w:rsidP="001715D2">
      <w:pPr>
        <w:jc w:val="center"/>
        <w:rPr>
          <w:rStyle w:val="JuParaCar"/>
          <w:lang w:val="fr-FR"/>
        </w:rPr>
      </w:pPr>
    </w:p>
    <w:p w:rsidR="001715D2" w:rsidRPr="001715D2" w:rsidRDefault="001715D2" w:rsidP="001715D2">
      <w:pPr>
        <w:jc w:val="center"/>
        <w:rPr>
          <w:rStyle w:val="JuParaCar"/>
          <w:lang w:val="fr-FR"/>
        </w:rPr>
      </w:pPr>
      <w:r>
        <w:rPr>
          <w:rStyle w:val="JuParaCar"/>
          <w:lang w:val="fr-FR"/>
        </w:rPr>
        <w:t>ARRÊT</w:t>
      </w:r>
    </w:p>
    <w:p w:rsidR="001715D2" w:rsidRDefault="001715D2" w:rsidP="00640A8F">
      <w:pPr>
        <w:pStyle w:val="ECHRPara"/>
        <w:ind w:firstLine="0"/>
        <w:jc w:val="center"/>
        <w:rPr>
          <w:lang w:val="fr-FR"/>
        </w:rPr>
      </w:pPr>
    </w:p>
    <w:p w:rsidR="001715D2" w:rsidRDefault="001715D2" w:rsidP="00640A8F">
      <w:pPr>
        <w:pStyle w:val="ECHRPara"/>
        <w:ind w:firstLine="0"/>
        <w:jc w:val="center"/>
        <w:rPr>
          <w:lang w:val="fr-FR"/>
        </w:rPr>
      </w:pPr>
    </w:p>
    <w:p w:rsidR="001715D2" w:rsidRDefault="001715D2" w:rsidP="00640A8F">
      <w:pPr>
        <w:pStyle w:val="ECHRPara"/>
        <w:ind w:firstLine="0"/>
        <w:jc w:val="center"/>
        <w:rPr>
          <w:lang w:val="fr-FR"/>
        </w:rPr>
      </w:pPr>
    </w:p>
    <w:p w:rsidR="001715D2" w:rsidRDefault="001715D2" w:rsidP="00640A8F">
      <w:pPr>
        <w:pStyle w:val="ECHRPara"/>
        <w:ind w:firstLine="0"/>
        <w:jc w:val="center"/>
        <w:rPr>
          <w:lang w:val="fr-FR"/>
        </w:rPr>
      </w:pPr>
      <w:r>
        <w:rPr>
          <w:lang w:val="fr-FR"/>
        </w:rPr>
        <w:t>STRASBOURG</w:t>
      </w:r>
    </w:p>
    <w:p w:rsidR="001715D2" w:rsidRDefault="001715D2" w:rsidP="00640A8F">
      <w:pPr>
        <w:pStyle w:val="ECHRPara"/>
        <w:ind w:firstLine="0"/>
        <w:jc w:val="center"/>
        <w:rPr>
          <w:lang w:val="fr-FR"/>
        </w:rPr>
      </w:pPr>
    </w:p>
    <w:p w:rsidR="001715D2" w:rsidRDefault="001715D2" w:rsidP="00640A8F">
      <w:pPr>
        <w:pStyle w:val="ECHRPara"/>
        <w:ind w:firstLine="0"/>
        <w:jc w:val="center"/>
        <w:rPr>
          <w:lang w:val="fr-FR"/>
        </w:rPr>
      </w:pPr>
      <w:r>
        <w:rPr>
          <w:lang w:val="fr-FR"/>
        </w:rPr>
        <w:t>13 octobre 2015</w:t>
      </w:r>
    </w:p>
    <w:p w:rsidR="001715D2" w:rsidRDefault="001715D2" w:rsidP="00640A8F">
      <w:pPr>
        <w:pStyle w:val="ECHRPara"/>
        <w:ind w:firstLine="0"/>
        <w:jc w:val="center"/>
        <w:rPr>
          <w:lang w:val="fr-FR"/>
        </w:rPr>
      </w:pPr>
    </w:p>
    <w:p w:rsidR="001715D2" w:rsidRDefault="001715D2" w:rsidP="00640A8F">
      <w:pPr>
        <w:pStyle w:val="ECHRPara"/>
        <w:ind w:firstLine="0"/>
        <w:jc w:val="center"/>
        <w:rPr>
          <w:lang w:val="fr-FR"/>
        </w:rPr>
      </w:pPr>
    </w:p>
    <w:p w:rsidR="001715D2" w:rsidRDefault="001715D2" w:rsidP="00640A8F">
      <w:pPr>
        <w:pStyle w:val="ECHRPara"/>
        <w:ind w:firstLine="0"/>
        <w:jc w:val="center"/>
        <w:rPr>
          <w:lang w:val="fr-FR"/>
        </w:rPr>
      </w:pPr>
    </w:p>
    <w:p w:rsidR="001715D2" w:rsidRDefault="001715D2" w:rsidP="00640A8F">
      <w:pPr>
        <w:pStyle w:val="ECHRPara"/>
        <w:ind w:firstLine="0"/>
        <w:jc w:val="center"/>
        <w:rPr>
          <w:lang w:val="fr-FR"/>
        </w:rPr>
      </w:pPr>
    </w:p>
    <w:p w:rsidR="001715D2" w:rsidRDefault="001715D2" w:rsidP="00640A8F">
      <w:pPr>
        <w:pStyle w:val="ECHRPara"/>
        <w:ind w:firstLine="0"/>
        <w:jc w:val="center"/>
        <w:rPr>
          <w:lang w:val="fr-FR"/>
        </w:rPr>
      </w:pPr>
    </w:p>
    <w:p w:rsidR="001715D2" w:rsidRDefault="001715D2" w:rsidP="00640A8F">
      <w:pPr>
        <w:pStyle w:val="ECHRPara"/>
        <w:tabs>
          <w:tab w:val="left" w:pos="5103"/>
        </w:tabs>
        <w:ind w:firstLine="0"/>
        <w:rPr>
          <w:i/>
          <w:sz w:val="22"/>
          <w:lang w:val="fr-FR"/>
        </w:rPr>
      </w:pPr>
      <w:r>
        <w:rPr>
          <w:i/>
          <w:sz w:val="22"/>
          <w:lang w:val="fr-FR"/>
        </w:rPr>
        <w:t>Cet arrêt deviendra définitif dans les conditions définies à l</w:t>
      </w:r>
      <w:r w:rsidR="00E91700">
        <w:rPr>
          <w:i/>
          <w:sz w:val="22"/>
          <w:lang w:val="fr-FR"/>
        </w:rPr>
        <w:t>’</w:t>
      </w:r>
      <w:r>
        <w:rPr>
          <w:i/>
          <w:sz w:val="22"/>
          <w:lang w:val="fr-FR"/>
        </w:rPr>
        <w:t>article 44 § 2 de la Convention. Il peut subir des retouches de forme.</w:t>
      </w:r>
    </w:p>
    <w:p w:rsidR="00BC17F4" w:rsidRDefault="00BC17F4" w:rsidP="001715D2">
      <w:pPr>
        <w:pStyle w:val="ECHRPara"/>
        <w:tabs>
          <w:tab w:val="left" w:pos="5103"/>
        </w:tabs>
        <w:ind w:firstLine="0"/>
        <w:rPr>
          <w:lang w:val="fr-FR"/>
        </w:rPr>
      </w:pPr>
    </w:p>
    <w:p w:rsidR="00640A8F" w:rsidRPr="001715D2" w:rsidRDefault="00640A8F" w:rsidP="001715D2">
      <w:pPr>
        <w:pStyle w:val="ECHRPara"/>
        <w:tabs>
          <w:tab w:val="left" w:pos="5103"/>
        </w:tabs>
        <w:ind w:firstLine="0"/>
        <w:rPr>
          <w:lang w:val="fr-FR"/>
        </w:rPr>
        <w:sectPr w:rsidR="00640A8F" w:rsidRPr="001715D2" w:rsidSect="001715D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2274" w:right="2274" w:bottom="2274" w:left="2274" w:header="1701" w:footer="720" w:gutter="0"/>
          <w:pgNumType w:start="1"/>
          <w:cols w:space="720"/>
          <w:titlePg/>
          <w:docGrid w:linePitch="326"/>
        </w:sectPr>
      </w:pPr>
    </w:p>
    <w:p w:rsidR="00E77CB3" w:rsidRPr="001F576E" w:rsidRDefault="00E77CB3" w:rsidP="00E77CB3">
      <w:pPr>
        <w:pStyle w:val="JuCase"/>
        <w:rPr>
          <w:lang w:val="fr-FR"/>
        </w:rPr>
      </w:pPr>
      <w:r w:rsidRPr="001F576E">
        <w:rPr>
          <w:lang w:val="fr-FR"/>
        </w:rPr>
        <w:lastRenderedPageBreak/>
        <w:t>En l</w:t>
      </w:r>
      <w:r w:rsidR="00E91700">
        <w:rPr>
          <w:lang w:val="fr-FR"/>
        </w:rPr>
        <w:t>’</w:t>
      </w:r>
      <w:r w:rsidRPr="001F576E">
        <w:rPr>
          <w:lang w:val="fr-FR"/>
        </w:rPr>
        <w:t xml:space="preserve">affaire </w:t>
      </w:r>
      <w:r w:rsidR="00147130">
        <w:rPr>
          <w:lang w:val="fr-FR"/>
        </w:rPr>
        <w:t>S.</w:t>
      </w:r>
      <w:r w:rsidR="00863E96">
        <w:rPr>
          <w:lang w:val="fr-FR"/>
        </w:rPr>
        <w:t>H</w:t>
      </w:r>
      <w:r w:rsidR="00147130">
        <w:rPr>
          <w:lang w:val="fr-FR"/>
        </w:rPr>
        <w:t>.</w:t>
      </w:r>
      <w:r w:rsidR="00863E96">
        <w:rPr>
          <w:lang w:val="fr-FR"/>
        </w:rPr>
        <w:t xml:space="preserve"> c. Italie</w:t>
      </w:r>
      <w:r w:rsidRPr="001F576E">
        <w:rPr>
          <w:lang w:val="fr-FR"/>
        </w:rPr>
        <w:t>,</w:t>
      </w:r>
    </w:p>
    <w:p w:rsidR="00E77CB3" w:rsidRPr="001F576E" w:rsidRDefault="00E77CB3" w:rsidP="00C63990">
      <w:pPr>
        <w:pStyle w:val="ECHRPara"/>
        <w:rPr>
          <w:lang w:val="fr-FR"/>
        </w:rPr>
      </w:pPr>
      <w:r w:rsidRPr="001F576E">
        <w:rPr>
          <w:lang w:val="fr-FR"/>
        </w:rPr>
        <w:t>La Cour européenne des droits de l</w:t>
      </w:r>
      <w:r w:rsidR="00E91700">
        <w:rPr>
          <w:lang w:val="fr-FR"/>
        </w:rPr>
        <w:t>’</w:t>
      </w:r>
      <w:r w:rsidRPr="001F576E">
        <w:rPr>
          <w:lang w:val="fr-FR"/>
        </w:rPr>
        <w:t>homme (</w:t>
      </w:r>
      <w:r w:rsidR="00863E96">
        <w:rPr>
          <w:lang w:val="fr-FR"/>
        </w:rPr>
        <w:t>quatrième section</w:t>
      </w:r>
      <w:r w:rsidRPr="001F576E">
        <w:rPr>
          <w:lang w:val="fr-FR"/>
        </w:rPr>
        <w:t xml:space="preserve">), siégeant en </w:t>
      </w:r>
      <w:r w:rsidR="00863E96" w:rsidRPr="001F576E">
        <w:rPr>
          <w:lang w:val="fr-FR"/>
        </w:rPr>
        <w:t xml:space="preserve">une </w:t>
      </w:r>
      <w:r w:rsidR="00863E96">
        <w:rPr>
          <w:lang w:val="fr-FR"/>
        </w:rPr>
        <w:t>chambre</w:t>
      </w:r>
      <w:r w:rsidR="00863E96" w:rsidRPr="001F576E">
        <w:rPr>
          <w:lang w:val="fr-FR"/>
        </w:rPr>
        <w:t xml:space="preserve"> composée</w:t>
      </w:r>
      <w:r w:rsidRPr="001F576E">
        <w:rPr>
          <w:lang w:val="fr-FR"/>
        </w:rPr>
        <w:t xml:space="preserve"> de :</w:t>
      </w:r>
    </w:p>
    <w:p w:rsidR="00BC17F4" w:rsidRDefault="001715D2" w:rsidP="00BC17F4">
      <w:pPr>
        <w:pStyle w:val="ECHRDecisionBody"/>
        <w:tabs>
          <w:tab w:val="left" w:pos="284"/>
        </w:tabs>
        <w:rPr>
          <w:i/>
          <w:lang w:val="fr-FR"/>
        </w:rPr>
      </w:pPr>
      <w:r w:rsidRPr="001715D2">
        <w:rPr>
          <w:lang w:val="fr-FR"/>
        </w:rPr>
        <w:tab/>
      </w:r>
      <w:proofErr w:type="spellStart"/>
      <w:r w:rsidRPr="001715D2">
        <w:rPr>
          <w:lang w:val="fr-FR"/>
        </w:rPr>
        <w:t>Päivi</w:t>
      </w:r>
      <w:proofErr w:type="spellEnd"/>
      <w:r>
        <w:rPr>
          <w:lang w:val="fr-FR"/>
        </w:rPr>
        <w:t xml:space="preserve"> </w:t>
      </w:r>
      <w:proofErr w:type="spellStart"/>
      <w:r w:rsidRPr="001715D2">
        <w:rPr>
          <w:lang w:val="fr-FR"/>
        </w:rPr>
        <w:t>Hirvelä</w:t>
      </w:r>
      <w:proofErr w:type="spellEnd"/>
      <w:r>
        <w:rPr>
          <w:lang w:val="fr-FR"/>
        </w:rPr>
        <w:t>,</w:t>
      </w:r>
      <w:r w:rsidRPr="001715D2">
        <w:rPr>
          <w:i/>
          <w:lang w:val="fr-FR"/>
        </w:rPr>
        <w:t xml:space="preserve"> présidente,</w:t>
      </w:r>
      <w:r>
        <w:rPr>
          <w:i/>
          <w:lang w:val="fr-FR"/>
        </w:rPr>
        <w:br/>
      </w:r>
      <w:r w:rsidRPr="001715D2">
        <w:rPr>
          <w:lang w:val="fr-FR"/>
        </w:rPr>
        <w:tab/>
        <w:t>Guido</w:t>
      </w:r>
      <w:r>
        <w:rPr>
          <w:lang w:val="fr-FR"/>
        </w:rPr>
        <w:t xml:space="preserve"> </w:t>
      </w:r>
      <w:r w:rsidRPr="001715D2">
        <w:rPr>
          <w:lang w:val="fr-FR"/>
        </w:rPr>
        <w:t>Raimondi</w:t>
      </w:r>
      <w:r>
        <w:rPr>
          <w:lang w:val="fr-FR"/>
        </w:rPr>
        <w:t>,</w:t>
      </w:r>
      <w:r>
        <w:rPr>
          <w:i/>
          <w:lang w:val="fr-FR"/>
        </w:rPr>
        <w:br/>
      </w:r>
      <w:r w:rsidRPr="001715D2">
        <w:rPr>
          <w:lang w:val="fr-FR"/>
        </w:rPr>
        <w:tab/>
      </w:r>
      <w:proofErr w:type="spellStart"/>
      <w:r w:rsidRPr="001715D2">
        <w:rPr>
          <w:lang w:val="fr-FR"/>
        </w:rPr>
        <w:t>Ledi</w:t>
      </w:r>
      <w:proofErr w:type="spellEnd"/>
      <w:r>
        <w:rPr>
          <w:lang w:val="fr-FR"/>
        </w:rPr>
        <w:t xml:space="preserve"> </w:t>
      </w:r>
      <w:proofErr w:type="spellStart"/>
      <w:r w:rsidRPr="001715D2">
        <w:rPr>
          <w:lang w:val="fr-FR"/>
        </w:rPr>
        <w:t>Bianku</w:t>
      </w:r>
      <w:proofErr w:type="spellEnd"/>
      <w:r>
        <w:rPr>
          <w:lang w:val="fr-FR"/>
        </w:rPr>
        <w:t>,</w:t>
      </w:r>
      <w:r>
        <w:rPr>
          <w:i/>
          <w:lang w:val="fr-FR"/>
        </w:rPr>
        <w:br/>
      </w:r>
      <w:r w:rsidRPr="001715D2">
        <w:rPr>
          <w:lang w:val="fr-FR"/>
        </w:rPr>
        <w:tab/>
      </w:r>
      <w:proofErr w:type="spellStart"/>
      <w:r w:rsidRPr="001715D2">
        <w:rPr>
          <w:lang w:val="fr-FR"/>
        </w:rPr>
        <w:t>Nona</w:t>
      </w:r>
      <w:proofErr w:type="spellEnd"/>
      <w:r>
        <w:rPr>
          <w:lang w:val="fr-FR"/>
        </w:rPr>
        <w:t xml:space="preserve"> </w:t>
      </w:r>
      <w:proofErr w:type="spellStart"/>
      <w:r w:rsidRPr="001715D2">
        <w:rPr>
          <w:lang w:val="fr-FR"/>
        </w:rPr>
        <w:t>Tsotsoria</w:t>
      </w:r>
      <w:proofErr w:type="spellEnd"/>
      <w:r>
        <w:rPr>
          <w:lang w:val="fr-FR"/>
        </w:rPr>
        <w:t>,</w:t>
      </w:r>
      <w:r>
        <w:rPr>
          <w:i/>
          <w:lang w:val="fr-FR"/>
        </w:rPr>
        <w:br/>
      </w:r>
      <w:r w:rsidRPr="001715D2">
        <w:rPr>
          <w:lang w:val="fr-FR"/>
        </w:rPr>
        <w:tab/>
        <w:t>Paul</w:t>
      </w:r>
      <w:r>
        <w:rPr>
          <w:lang w:val="fr-FR"/>
        </w:rPr>
        <w:t xml:space="preserve"> </w:t>
      </w:r>
      <w:proofErr w:type="spellStart"/>
      <w:r w:rsidRPr="001715D2">
        <w:rPr>
          <w:lang w:val="fr-FR"/>
        </w:rPr>
        <w:t>Mahoney</w:t>
      </w:r>
      <w:proofErr w:type="spellEnd"/>
      <w:r>
        <w:rPr>
          <w:lang w:val="fr-FR"/>
        </w:rPr>
        <w:t>,</w:t>
      </w:r>
      <w:r>
        <w:rPr>
          <w:i/>
          <w:lang w:val="fr-FR"/>
        </w:rPr>
        <w:br/>
      </w:r>
      <w:r w:rsidRPr="001715D2">
        <w:rPr>
          <w:lang w:val="fr-FR"/>
        </w:rPr>
        <w:tab/>
        <w:t>Faris</w:t>
      </w:r>
      <w:r>
        <w:rPr>
          <w:lang w:val="fr-FR"/>
        </w:rPr>
        <w:t xml:space="preserve"> </w:t>
      </w:r>
      <w:proofErr w:type="spellStart"/>
      <w:r w:rsidRPr="001715D2">
        <w:rPr>
          <w:lang w:val="fr-FR"/>
        </w:rPr>
        <w:t>Vehabović</w:t>
      </w:r>
      <w:proofErr w:type="spellEnd"/>
      <w:r>
        <w:rPr>
          <w:lang w:val="fr-FR"/>
        </w:rPr>
        <w:t>,</w:t>
      </w:r>
      <w:r>
        <w:rPr>
          <w:i/>
          <w:lang w:val="fr-FR"/>
        </w:rPr>
        <w:br/>
      </w:r>
      <w:r w:rsidRPr="001715D2">
        <w:rPr>
          <w:lang w:val="fr-FR"/>
        </w:rPr>
        <w:tab/>
      </w:r>
      <w:proofErr w:type="spellStart"/>
      <w:r w:rsidRPr="001715D2">
        <w:rPr>
          <w:lang w:val="fr-FR"/>
        </w:rPr>
        <w:t>Yonko</w:t>
      </w:r>
      <w:proofErr w:type="spellEnd"/>
      <w:r>
        <w:rPr>
          <w:lang w:val="fr-FR"/>
        </w:rPr>
        <w:t xml:space="preserve"> </w:t>
      </w:r>
      <w:proofErr w:type="spellStart"/>
      <w:r w:rsidRPr="001715D2">
        <w:rPr>
          <w:lang w:val="fr-FR"/>
        </w:rPr>
        <w:t>Grozev</w:t>
      </w:r>
      <w:proofErr w:type="spellEnd"/>
      <w:r>
        <w:rPr>
          <w:lang w:val="fr-FR"/>
        </w:rPr>
        <w:t>,</w:t>
      </w:r>
      <w:r w:rsidRPr="001715D2">
        <w:rPr>
          <w:i/>
          <w:lang w:val="fr-FR"/>
        </w:rPr>
        <w:t xml:space="preserve"> juges</w:t>
      </w:r>
      <w:proofErr w:type="gramStart"/>
      <w:r w:rsidRPr="001715D2">
        <w:rPr>
          <w:i/>
          <w:lang w:val="fr-FR"/>
        </w:rPr>
        <w:t>,</w:t>
      </w:r>
      <w:proofErr w:type="gramEnd"/>
      <w:r>
        <w:rPr>
          <w:i/>
          <w:lang w:val="fr-FR"/>
        </w:rPr>
        <w:br/>
      </w:r>
      <w:r w:rsidR="00BC17F4">
        <w:rPr>
          <w:lang w:val="fr-FR"/>
        </w:rPr>
        <w:t xml:space="preserve">et de </w:t>
      </w:r>
      <w:proofErr w:type="spellStart"/>
      <w:r w:rsidR="00BC17F4" w:rsidRPr="00BC17F4">
        <w:rPr>
          <w:szCs w:val="24"/>
          <w:lang w:val="fr-FR"/>
        </w:rPr>
        <w:t>Fatoş</w:t>
      </w:r>
      <w:proofErr w:type="spellEnd"/>
      <w:r w:rsidR="00BC17F4" w:rsidRPr="00BC17F4">
        <w:rPr>
          <w:szCs w:val="24"/>
          <w:lang w:val="fr-FR"/>
        </w:rPr>
        <w:t xml:space="preserve"> </w:t>
      </w:r>
      <w:proofErr w:type="spellStart"/>
      <w:r w:rsidR="00BC17F4" w:rsidRPr="00BC17F4">
        <w:rPr>
          <w:szCs w:val="24"/>
          <w:lang w:val="fr-FR"/>
        </w:rPr>
        <w:t>Aracı</w:t>
      </w:r>
      <w:proofErr w:type="spellEnd"/>
      <w:r w:rsidR="00BC17F4" w:rsidRPr="00BC17F4">
        <w:rPr>
          <w:szCs w:val="24"/>
          <w:lang w:val="fr-FR"/>
        </w:rPr>
        <w:t xml:space="preserve">, </w:t>
      </w:r>
      <w:r w:rsidR="00BC17F4" w:rsidRPr="00BC17F4">
        <w:rPr>
          <w:i/>
          <w:lang w:val="fr-FR"/>
        </w:rPr>
        <w:t>greffière adjointe de section,</w:t>
      </w:r>
    </w:p>
    <w:p w:rsidR="00E77CB3" w:rsidRPr="001F576E" w:rsidRDefault="00BC17F4" w:rsidP="00BC17F4">
      <w:pPr>
        <w:pStyle w:val="ECHRDecisionBody"/>
        <w:tabs>
          <w:tab w:val="left" w:pos="284"/>
        </w:tabs>
        <w:rPr>
          <w:lang w:val="fr-FR"/>
        </w:rPr>
      </w:pPr>
      <w:r>
        <w:rPr>
          <w:lang w:val="fr-FR"/>
        </w:rPr>
        <w:tab/>
      </w:r>
      <w:r w:rsidR="00E77CB3" w:rsidRPr="001F576E">
        <w:rPr>
          <w:lang w:val="fr-FR"/>
        </w:rPr>
        <w:t xml:space="preserve">Après en avoir délibéré en chambre du conseil le </w:t>
      </w:r>
      <w:r w:rsidR="001715D2">
        <w:rPr>
          <w:lang w:val="fr-FR"/>
        </w:rPr>
        <w:t>22 septembre 2015</w:t>
      </w:r>
      <w:r w:rsidR="00E77CB3" w:rsidRPr="001F576E">
        <w:rPr>
          <w:lang w:val="fr-FR"/>
        </w:rPr>
        <w:t>,</w:t>
      </w:r>
    </w:p>
    <w:p w:rsidR="0074457F" w:rsidRPr="001F576E" w:rsidRDefault="00E77CB3" w:rsidP="0074457F">
      <w:pPr>
        <w:pStyle w:val="ECHRPara"/>
        <w:rPr>
          <w:lang w:val="fr-FR"/>
        </w:rPr>
      </w:pPr>
      <w:r w:rsidRPr="001F576E">
        <w:rPr>
          <w:lang w:val="fr-FR"/>
        </w:rPr>
        <w:t>Rend l</w:t>
      </w:r>
      <w:r w:rsidR="00E91700">
        <w:rPr>
          <w:lang w:val="fr-FR"/>
        </w:rPr>
        <w:t>’</w:t>
      </w:r>
      <w:r w:rsidRPr="001F576E">
        <w:rPr>
          <w:lang w:val="fr-FR"/>
        </w:rPr>
        <w:t>arrêt que voici, adopté à cette date :</w:t>
      </w:r>
    </w:p>
    <w:p w:rsidR="00E77CB3" w:rsidRDefault="00E77CB3" w:rsidP="00E77CB3">
      <w:pPr>
        <w:pStyle w:val="ECHRTitle1"/>
        <w:rPr>
          <w:lang w:val="fr-FR"/>
        </w:rPr>
      </w:pPr>
      <w:r w:rsidRPr="001F576E">
        <w:rPr>
          <w:lang w:val="fr-FR"/>
        </w:rPr>
        <w:t>PROCÉDURE</w:t>
      </w:r>
    </w:p>
    <w:p w:rsidR="00E77CB3" w:rsidRPr="001F576E" w:rsidRDefault="00863E96" w:rsidP="00C63990">
      <w:pPr>
        <w:pStyle w:val="ECHRPara"/>
        <w:rPr>
          <w:lang w:val="fr-FR"/>
        </w:rPr>
      </w:pPr>
      <w:r>
        <w:rPr>
          <w:lang w:val="fr-FR"/>
        </w:rPr>
        <w:fldChar w:fldCharType="begin"/>
      </w:r>
      <w:r>
        <w:rPr>
          <w:lang w:val="fr-FR"/>
        </w:rPr>
        <w:instrText xml:space="preserve"> SEQ level0 \*arabic </w:instrText>
      </w:r>
      <w:r>
        <w:rPr>
          <w:lang w:val="fr-FR"/>
        </w:rPr>
        <w:fldChar w:fldCharType="separate"/>
      </w:r>
      <w:r w:rsidR="0096090F">
        <w:rPr>
          <w:noProof/>
          <w:lang w:val="fr-FR"/>
        </w:rPr>
        <w:t>1</w:t>
      </w:r>
      <w:r>
        <w:rPr>
          <w:lang w:val="fr-FR"/>
        </w:rPr>
        <w:fldChar w:fldCharType="end"/>
      </w:r>
      <w:r w:rsidR="00E77CB3" w:rsidRPr="001F576E">
        <w:rPr>
          <w:lang w:val="fr-FR"/>
        </w:rPr>
        <w:t>.  À l</w:t>
      </w:r>
      <w:r w:rsidR="00E91700">
        <w:rPr>
          <w:lang w:val="fr-FR"/>
        </w:rPr>
        <w:t>’</w:t>
      </w:r>
      <w:r w:rsidR="00E77CB3" w:rsidRPr="001F576E">
        <w:rPr>
          <w:lang w:val="fr-FR"/>
        </w:rPr>
        <w:t>origine de l</w:t>
      </w:r>
      <w:r w:rsidR="00E91700">
        <w:rPr>
          <w:lang w:val="fr-FR"/>
        </w:rPr>
        <w:t>’</w:t>
      </w:r>
      <w:r w:rsidR="00E77CB3" w:rsidRPr="001F576E">
        <w:rPr>
          <w:lang w:val="fr-FR"/>
        </w:rPr>
        <w:t xml:space="preserve">affaire </w:t>
      </w:r>
      <w:r w:rsidRPr="001F576E">
        <w:rPr>
          <w:lang w:val="fr-FR"/>
        </w:rPr>
        <w:t>se trouve une requête (n</w:t>
      </w:r>
      <w:r w:rsidR="001715D2" w:rsidRPr="001715D2">
        <w:rPr>
          <w:vertAlign w:val="superscript"/>
          <w:lang w:val="fr-FR"/>
        </w:rPr>
        <w:t>o</w:t>
      </w:r>
      <w:r w:rsidRPr="001F576E">
        <w:rPr>
          <w:lang w:val="fr-FR"/>
        </w:rPr>
        <w:t xml:space="preserve"> </w:t>
      </w:r>
      <w:r>
        <w:rPr>
          <w:lang w:val="fr-FR"/>
        </w:rPr>
        <w:t>52557/14</w:t>
      </w:r>
      <w:r w:rsidRPr="001F576E">
        <w:rPr>
          <w:lang w:val="fr-FR"/>
        </w:rPr>
        <w:t>) dirigée</w:t>
      </w:r>
      <w:r w:rsidR="00E77CB3" w:rsidRPr="001F576E">
        <w:rPr>
          <w:lang w:val="fr-FR"/>
        </w:rPr>
        <w:t xml:space="preserve"> contre </w:t>
      </w:r>
      <w:r>
        <w:rPr>
          <w:lang w:val="fr-FR"/>
        </w:rPr>
        <w:t>la République italienne</w:t>
      </w:r>
      <w:r w:rsidR="00E77CB3" w:rsidRPr="001F576E">
        <w:rPr>
          <w:lang w:val="fr-FR"/>
        </w:rPr>
        <w:t xml:space="preserve"> et dont </w:t>
      </w:r>
      <w:r w:rsidRPr="001F576E">
        <w:rPr>
          <w:lang w:val="fr-FR"/>
        </w:rPr>
        <w:t xml:space="preserve">une ressortissante </w:t>
      </w:r>
      <w:r>
        <w:rPr>
          <w:lang w:val="fr-FR"/>
        </w:rPr>
        <w:t>italienne</w:t>
      </w:r>
      <w:r w:rsidRPr="001F576E">
        <w:rPr>
          <w:lang w:val="fr-FR"/>
        </w:rPr>
        <w:t>, M</w:t>
      </w:r>
      <w:r w:rsidRPr="001F576E">
        <w:rPr>
          <w:vertAlign w:val="superscript"/>
          <w:lang w:val="fr-FR"/>
        </w:rPr>
        <w:t>me</w:t>
      </w:r>
      <w:r w:rsidR="00FB2BA8" w:rsidRPr="001F576E">
        <w:rPr>
          <w:lang w:val="fr-FR"/>
        </w:rPr>
        <w:t>  </w:t>
      </w:r>
      <w:r w:rsidR="00575C5E">
        <w:rPr>
          <w:lang w:val="fr-FR"/>
        </w:rPr>
        <w:t>S</w:t>
      </w:r>
      <w:r w:rsidR="00774930">
        <w:rPr>
          <w:lang w:val="fr-FR"/>
        </w:rPr>
        <w:t>.</w:t>
      </w:r>
      <w:r>
        <w:rPr>
          <w:lang w:val="fr-FR"/>
        </w:rPr>
        <w:t>H</w:t>
      </w:r>
      <w:r w:rsidR="00774930">
        <w:rPr>
          <w:lang w:val="fr-FR"/>
        </w:rPr>
        <w:t>.</w:t>
      </w:r>
      <w:r w:rsidRPr="001F576E">
        <w:rPr>
          <w:lang w:val="fr-FR"/>
        </w:rPr>
        <w:t xml:space="preserve"> (« la requérante »), a saisi la Cour le </w:t>
      </w:r>
      <w:r>
        <w:rPr>
          <w:lang w:val="fr-FR"/>
        </w:rPr>
        <w:t>11 juillet 2014</w:t>
      </w:r>
      <w:r w:rsidR="00E77CB3" w:rsidRPr="001F576E">
        <w:rPr>
          <w:lang w:val="fr-FR"/>
        </w:rPr>
        <w:t xml:space="preserve"> en vertu de </w:t>
      </w:r>
      <w:r w:rsidRPr="001F576E">
        <w:rPr>
          <w:lang w:val="fr-FR"/>
        </w:rPr>
        <w:t>l</w:t>
      </w:r>
      <w:r w:rsidR="00E91700">
        <w:rPr>
          <w:lang w:val="fr-FR"/>
        </w:rPr>
        <w:t>’</w:t>
      </w:r>
      <w:r w:rsidRPr="001F576E">
        <w:rPr>
          <w:lang w:val="fr-FR"/>
        </w:rPr>
        <w:t>article 34</w:t>
      </w:r>
      <w:r w:rsidR="00E77CB3" w:rsidRPr="001F576E">
        <w:rPr>
          <w:lang w:val="fr-FR"/>
        </w:rPr>
        <w:t xml:space="preserve"> de la Convention de sauvegarde des droits de l</w:t>
      </w:r>
      <w:r w:rsidR="00E91700">
        <w:rPr>
          <w:lang w:val="fr-FR"/>
        </w:rPr>
        <w:t>’</w:t>
      </w:r>
      <w:r w:rsidR="00E77CB3" w:rsidRPr="001F576E">
        <w:rPr>
          <w:lang w:val="fr-FR"/>
        </w:rPr>
        <w:t>homme et des libertés fondamentales (« la Convention »).</w:t>
      </w:r>
    </w:p>
    <w:p w:rsidR="00C31CD3" w:rsidRDefault="00863E96" w:rsidP="00C63990">
      <w:pPr>
        <w:pStyle w:val="ECHRPara"/>
        <w:rPr>
          <w:lang w:val="fr-FR"/>
        </w:rPr>
      </w:pPr>
      <w:r>
        <w:rPr>
          <w:lang w:val="fr-FR"/>
        </w:rPr>
        <w:fldChar w:fldCharType="begin"/>
      </w:r>
      <w:r>
        <w:rPr>
          <w:lang w:val="fr-FR"/>
        </w:rPr>
        <w:instrText xml:space="preserve"> SEQ level0 \*arabic </w:instrText>
      </w:r>
      <w:r>
        <w:rPr>
          <w:lang w:val="fr-FR"/>
        </w:rPr>
        <w:fldChar w:fldCharType="separate"/>
      </w:r>
      <w:r w:rsidR="0096090F">
        <w:rPr>
          <w:noProof/>
          <w:lang w:val="fr-FR"/>
        </w:rPr>
        <w:t>2</w:t>
      </w:r>
      <w:r>
        <w:rPr>
          <w:lang w:val="fr-FR"/>
        </w:rPr>
        <w:fldChar w:fldCharType="end"/>
      </w:r>
      <w:r w:rsidR="00E77CB3" w:rsidRPr="001F576E">
        <w:rPr>
          <w:lang w:val="fr-FR"/>
        </w:rPr>
        <w:t>.  </w:t>
      </w:r>
      <w:r w:rsidRPr="001F576E">
        <w:rPr>
          <w:lang w:val="fr-FR"/>
        </w:rPr>
        <w:t>La requérante a été représentée par M</w:t>
      </w:r>
      <w:r w:rsidRPr="001F576E">
        <w:rPr>
          <w:vertAlign w:val="superscript"/>
          <w:lang w:val="fr-FR"/>
        </w:rPr>
        <w:t>e</w:t>
      </w:r>
      <w:r w:rsidRPr="001F576E">
        <w:rPr>
          <w:lang w:val="fr-FR"/>
        </w:rPr>
        <w:t> </w:t>
      </w:r>
      <w:r>
        <w:rPr>
          <w:lang w:val="fr-FR"/>
        </w:rPr>
        <w:t>M.</w:t>
      </w:r>
      <w:r w:rsidRPr="001F576E">
        <w:rPr>
          <w:lang w:val="fr-FR"/>
        </w:rPr>
        <w:t xml:space="preserve"> </w:t>
      </w:r>
      <w:proofErr w:type="spellStart"/>
      <w:r>
        <w:rPr>
          <w:lang w:val="fr-FR"/>
        </w:rPr>
        <w:t>Morcavallo</w:t>
      </w:r>
      <w:proofErr w:type="spellEnd"/>
      <w:r w:rsidRPr="001F576E">
        <w:rPr>
          <w:lang w:val="fr-FR"/>
        </w:rPr>
        <w:t xml:space="preserve">, avocat à </w:t>
      </w:r>
      <w:r>
        <w:rPr>
          <w:lang w:val="fr-FR"/>
        </w:rPr>
        <w:t>Rome</w:t>
      </w:r>
      <w:r w:rsidRPr="001F576E">
        <w:rPr>
          <w:lang w:val="fr-FR"/>
        </w:rPr>
        <w:t xml:space="preserve">. </w:t>
      </w:r>
      <w:r w:rsidR="00575C5E">
        <w:rPr>
          <w:lang w:val="fr-FR"/>
        </w:rPr>
        <w:t>Le G</w:t>
      </w:r>
      <w:r w:rsidR="00E77CB3" w:rsidRPr="001F576E">
        <w:rPr>
          <w:lang w:val="fr-FR"/>
        </w:rPr>
        <w:t xml:space="preserve">ouvernement </w:t>
      </w:r>
      <w:r>
        <w:rPr>
          <w:lang w:val="fr-FR"/>
        </w:rPr>
        <w:t>italien</w:t>
      </w:r>
      <w:r w:rsidR="00E77CB3" w:rsidRPr="001F576E">
        <w:rPr>
          <w:lang w:val="fr-FR"/>
        </w:rPr>
        <w:t xml:space="preserve"> (« le Gouvernement ») a été représenté par son agent</w:t>
      </w:r>
      <w:r w:rsidR="00CB6A06">
        <w:rPr>
          <w:lang w:val="fr-FR"/>
        </w:rPr>
        <w:t>e</w:t>
      </w:r>
      <w:r w:rsidR="00E77CB3" w:rsidRPr="001F576E">
        <w:rPr>
          <w:lang w:val="fr-FR"/>
        </w:rPr>
        <w:t xml:space="preserve">, </w:t>
      </w:r>
      <w:r>
        <w:rPr>
          <w:lang w:val="fr-FR"/>
        </w:rPr>
        <w:t>M</w:t>
      </w:r>
      <w:r w:rsidRPr="00863E96">
        <w:rPr>
          <w:vertAlign w:val="superscript"/>
          <w:lang w:val="fr-FR"/>
        </w:rPr>
        <w:t>me</w:t>
      </w:r>
      <w:r>
        <w:rPr>
          <w:lang w:val="fr-FR"/>
        </w:rPr>
        <w:t xml:space="preserve"> E. </w:t>
      </w:r>
      <w:proofErr w:type="spellStart"/>
      <w:r>
        <w:rPr>
          <w:lang w:val="fr-FR"/>
        </w:rPr>
        <w:t>Spatafora</w:t>
      </w:r>
      <w:proofErr w:type="spellEnd"/>
      <w:r w:rsidR="00E77CB3" w:rsidRPr="001F576E">
        <w:rPr>
          <w:lang w:val="fr-FR"/>
        </w:rPr>
        <w:t>.</w:t>
      </w:r>
    </w:p>
    <w:p w:rsidR="00E77CB3" w:rsidRPr="001F576E" w:rsidRDefault="00863E96" w:rsidP="00C63990">
      <w:pPr>
        <w:pStyle w:val="ECHRPara"/>
        <w:rPr>
          <w:lang w:val="fr-FR"/>
        </w:rPr>
      </w:pPr>
      <w:r>
        <w:rPr>
          <w:lang w:val="fr-FR"/>
        </w:rPr>
        <w:fldChar w:fldCharType="begin"/>
      </w:r>
      <w:r>
        <w:rPr>
          <w:lang w:val="fr-FR"/>
        </w:rPr>
        <w:instrText xml:space="preserve"> SEQ level0 \*arabic </w:instrText>
      </w:r>
      <w:r>
        <w:rPr>
          <w:lang w:val="fr-FR"/>
        </w:rPr>
        <w:fldChar w:fldCharType="separate"/>
      </w:r>
      <w:r w:rsidR="0096090F">
        <w:rPr>
          <w:noProof/>
          <w:lang w:val="fr-FR"/>
        </w:rPr>
        <w:t>3</w:t>
      </w:r>
      <w:r>
        <w:rPr>
          <w:lang w:val="fr-FR"/>
        </w:rPr>
        <w:fldChar w:fldCharType="end"/>
      </w:r>
      <w:r w:rsidR="004D6C34">
        <w:rPr>
          <w:lang w:val="fr-FR"/>
        </w:rPr>
        <w:t>.  La requérante allègue</w:t>
      </w:r>
      <w:r w:rsidRPr="001F576E">
        <w:rPr>
          <w:lang w:val="fr-FR"/>
        </w:rPr>
        <w:t xml:space="preserve"> </w:t>
      </w:r>
      <w:r>
        <w:rPr>
          <w:lang w:val="fr-FR"/>
        </w:rPr>
        <w:t>en particulier une violation de son droit au respect de la vie familiale, garanti par l</w:t>
      </w:r>
      <w:r w:rsidR="00E91700">
        <w:rPr>
          <w:lang w:val="fr-FR"/>
        </w:rPr>
        <w:t>’</w:t>
      </w:r>
      <w:r>
        <w:rPr>
          <w:lang w:val="fr-FR"/>
        </w:rPr>
        <w:t>article 8 de la Convention</w:t>
      </w:r>
      <w:r w:rsidRPr="001F576E">
        <w:rPr>
          <w:lang w:val="fr-FR"/>
        </w:rPr>
        <w:t>.</w:t>
      </w:r>
    </w:p>
    <w:p w:rsidR="00E77CB3" w:rsidRPr="001F576E" w:rsidRDefault="00863E96" w:rsidP="00C63990">
      <w:pPr>
        <w:pStyle w:val="ECHRPara"/>
        <w:rPr>
          <w:szCs w:val="24"/>
          <w:lang w:val="fr-FR" w:eastAsia="en-GB"/>
        </w:rPr>
      </w:pPr>
      <w:r>
        <w:rPr>
          <w:lang w:val="fr-FR"/>
        </w:rPr>
        <w:fldChar w:fldCharType="begin"/>
      </w:r>
      <w:r>
        <w:rPr>
          <w:lang w:val="fr-FR"/>
        </w:rPr>
        <w:instrText xml:space="preserve"> SEQ level0 \*arabic </w:instrText>
      </w:r>
      <w:r>
        <w:rPr>
          <w:lang w:val="fr-FR"/>
        </w:rPr>
        <w:fldChar w:fldCharType="separate"/>
      </w:r>
      <w:r w:rsidR="0096090F">
        <w:rPr>
          <w:noProof/>
          <w:lang w:val="fr-FR"/>
        </w:rPr>
        <w:t>4</w:t>
      </w:r>
      <w:r>
        <w:rPr>
          <w:lang w:val="fr-FR"/>
        </w:rPr>
        <w:fldChar w:fldCharType="end"/>
      </w:r>
      <w:r w:rsidR="00E77CB3" w:rsidRPr="001F576E">
        <w:rPr>
          <w:lang w:val="fr-FR"/>
        </w:rPr>
        <w:t>.  </w:t>
      </w:r>
      <w:r w:rsidRPr="001F576E">
        <w:rPr>
          <w:lang w:val="fr-FR"/>
        </w:rPr>
        <w:t xml:space="preserve">Le </w:t>
      </w:r>
      <w:r>
        <w:rPr>
          <w:szCs w:val="24"/>
          <w:lang w:val="fr-FR"/>
        </w:rPr>
        <w:t>23 octobre 2014</w:t>
      </w:r>
      <w:r w:rsidR="00E77CB3" w:rsidRPr="001F576E">
        <w:rPr>
          <w:lang w:val="fr-FR"/>
        </w:rPr>
        <w:t xml:space="preserve">, </w:t>
      </w:r>
      <w:r w:rsidRPr="001F576E">
        <w:rPr>
          <w:lang w:val="fr-FR"/>
        </w:rPr>
        <w:t xml:space="preserve">le grief concernant </w:t>
      </w:r>
      <w:r>
        <w:rPr>
          <w:lang w:val="fr-FR"/>
        </w:rPr>
        <w:t>l</w:t>
      </w:r>
      <w:r w:rsidRPr="001F576E">
        <w:rPr>
          <w:lang w:val="fr-FR"/>
        </w:rPr>
        <w:t>a</w:t>
      </w:r>
      <w:r>
        <w:rPr>
          <w:lang w:val="fr-FR"/>
        </w:rPr>
        <w:t xml:space="preserve"> violation de l</w:t>
      </w:r>
      <w:r w:rsidR="00E91700">
        <w:rPr>
          <w:lang w:val="fr-FR"/>
        </w:rPr>
        <w:t>’</w:t>
      </w:r>
      <w:r>
        <w:rPr>
          <w:lang w:val="fr-FR"/>
        </w:rPr>
        <w:t>article 8 de la Convention a</w:t>
      </w:r>
      <w:r w:rsidRPr="001F576E">
        <w:rPr>
          <w:lang w:val="fr-FR"/>
        </w:rPr>
        <w:t xml:space="preserve"> été communiqué au Gouvernement et la requête a été déclarée irrecevable</w:t>
      </w:r>
      <w:r w:rsidRPr="001F576E">
        <w:rPr>
          <w:szCs w:val="24"/>
          <w:lang w:val="fr-FR"/>
        </w:rPr>
        <w:t xml:space="preserve"> pour le surplus</w:t>
      </w:r>
      <w:r w:rsidR="006A5258">
        <w:rPr>
          <w:lang w:val="fr-FR"/>
        </w:rPr>
        <w:t>, conformément à l</w:t>
      </w:r>
      <w:r w:rsidR="00E91700">
        <w:rPr>
          <w:lang w:val="fr-FR"/>
        </w:rPr>
        <w:t>’</w:t>
      </w:r>
      <w:r w:rsidR="006A5258">
        <w:rPr>
          <w:lang w:val="fr-FR"/>
        </w:rPr>
        <w:t>article 54 § 3 du Règlement de la Cour.</w:t>
      </w:r>
    </w:p>
    <w:p w:rsidR="00E77CB3" w:rsidRPr="001F576E" w:rsidRDefault="00E77CB3" w:rsidP="00E77CB3">
      <w:pPr>
        <w:pStyle w:val="ECHRTitle1"/>
        <w:tabs>
          <w:tab w:val="left" w:pos="5387"/>
        </w:tabs>
        <w:rPr>
          <w:lang w:val="fr-FR"/>
        </w:rPr>
      </w:pPr>
      <w:r w:rsidRPr="001F576E">
        <w:rPr>
          <w:lang w:val="fr-FR"/>
        </w:rPr>
        <w:t>EN FAIT</w:t>
      </w:r>
    </w:p>
    <w:p w:rsidR="00E77CB3" w:rsidRPr="001F576E" w:rsidRDefault="00E77CB3" w:rsidP="00C63990">
      <w:pPr>
        <w:pStyle w:val="ECHRHeading1"/>
        <w:rPr>
          <w:lang w:val="fr-FR"/>
        </w:rPr>
      </w:pPr>
      <w:r w:rsidRPr="001F576E">
        <w:rPr>
          <w:lang w:val="fr-FR"/>
        </w:rPr>
        <w:t>I.  LES CIRCONSTANCES DE L</w:t>
      </w:r>
      <w:r w:rsidR="00E91700">
        <w:rPr>
          <w:lang w:val="fr-FR"/>
        </w:rPr>
        <w:t>’</w:t>
      </w:r>
      <w:r w:rsidRPr="001F576E">
        <w:rPr>
          <w:lang w:val="fr-FR"/>
        </w:rPr>
        <w:t>ESPÈCE</w:t>
      </w:r>
    </w:p>
    <w:p w:rsidR="00E77CB3" w:rsidRPr="001F576E" w:rsidRDefault="00863E96" w:rsidP="00C63990">
      <w:pPr>
        <w:pStyle w:val="ECHRPara"/>
        <w:rPr>
          <w:lang w:val="fr-FR"/>
        </w:rPr>
      </w:pPr>
      <w:r>
        <w:rPr>
          <w:lang w:val="fr-FR"/>
        </w:rPr>
        <w:fldChar w:fldCharType="begin"/>
      </w:r>
      <w:r>
        <w:rPr>
          <w:lang w:val="fr-FR"/>
        </w:rPr>
        <w:instrText xml:space="preserve"> SEQ level0 \*arabic </w:instrText>
      </w:r>
      <w:r>
        <w:rPr>
          <w:lang w:val="fr-FR"/>
        </w:rPr>
        <w:fldChar w:fldCharType="separate"/>
      </w:r>
      <w:r w:rsidR="0096090F">
        <w:rPr>
          <w:noProof/>
          <w:lang w:val="fr-FR"/>
        </w:rPr>
        <w:t>5</w:t>
      </w:r>
      <w:r>
        <w:rPr>
          <w:lang w:val="fr-FR"/>
        </w:rPr>
        <w:fldChar w:fldCharType="end"/>
      </w:r>
      <w:r w:rsidR="00E77CB3" w:rsidRPr="001F576E">
        <w:rPr>
          <w:lang w:val="fr-FR"/>
        </w:rPr>
        <w:t>.  </w:t>
      </w:r>
      <w:r w:rsidRPr="001F576E">
        <w:rPr>
          <w:lang w:val="fr-FR"/>
        </w:rPr>
        <w:t xml:space="preserve">La requérante est née en </w:t>
      </w:r>
      <w:r>
        <w:rPr>
          <w:lang w:val="fr-FR"/>
        </w:rPr>
        <w:t>1984</w:t>
      </w:r>
      <w:r w:rsidRPr="001F576E">
        <w:rPr>
          <w:lang w:val="fr-FR"/>
        </w:rPr>
        <w:t xml:space="preserve"> et réside à </w:t>
      </w:r>
      <w:proofErr w:type="spellStart"/>
      <w:r>
        <w:rPr>
          <w:lang w:val="fr-FR"/>
        </w:rPr>
        <w:t>Sacile</w:t>
      </w:r>
      <w:proofErr w:type="spellEnd"/>
      <w:r w:rsidR="00E77CB3" w:rsidRPr="001F576E">
        <w:rPr>
          <w:lang w:val="fr-FR"/>
        </w:rPr>
        <w:t>.</w:t>
      </w:r>
    </w:p>
    <w:p w:rsidR="00687120" w:rsidRDefault="00863E96" w:rsidP="00687120">
      <w:pPr>
        <w:pStyle w:val="ECHRPara"/>
        <w:rPr>
          <w:lang w:val="fr-FR"/>
        </w:rPr>
      </w:pPr>
      <w:r>
        <w:rPr>
          <w:lang w:val="fr-FR"/>
        </w:rPr>
        <w:fldChar w:fldCharType="begin"/>
      </w:r>
      <w:r>
        <w:rPr>
          <w:lang w:val="fr-FR"/>
        </w:rPr>
        <w:instrText xml:space="preserve"> SEQ level0 \*arabic </w:instrText>
      </w:r>
      <w:r>
        <w:rPr>
          <w:lang w:val="fr-FR"/>
        </w:rPr>
        <w:fldChar w:fldCharType="separate"/>
      </w:r>
      <w:r w:rsidR="0096090F">
        <w:rPr>
          <w:noProof/>
          <w:lang w:val="fr-FR"/>
        </w:rPr>
        <w:t>6</w:t>
      </w:r>
      <w:r>
        <w:rPr>
          <w:lang w:val="fr-FR"/>
        </w:rPr>
        <w:fldChar w:fldCharType="end"/>
      </w:r>
      <w:r w:rsidR="00E77CB3" w:rsidRPr="001F576E">
        <w:rPr>
          <w:lang w:val="fr-FR"/>
        </w:rPr>
        <w:t>.  </w:t>
      </w:r>
      <w:r w:rsidR="00687120" w:rsidRPr="00C533A8">
        <w:rPr>
          <w:lang w:val="fr-FR"/>
        </w:rPr>
        <w:t>Les faits de la cause, tels qu</w:t>
      </w:r>
      <w:r w:rsidR="00E91700">
        <w:rPr>
          <w:lang w:val="fr-FR"/>
        </w:rPr>
        <w:t>’</w:t>
      </w:r>
      <w:r w:rsidR="00687120" w:rsidRPr="00C533A8">
        <w:rPr>
          <w:lang w:val="fr-FR"/>
        </w:rPr>
        <w:t>ils ont été exposés par</w:t>
      </w:r>
      <w:r w:rsidR="00AF7F28">
        <w:rPr>
          <w:lang w:val="fr-FR"/>
        </w:rPr>
        <w:t xml:space="preserve"> </w:t>
      </w:r>
      <w:r w:rsidR="00687120">
        <w:rPr>
          <w:lang w:val="fr-FR"/>
        </w:rPr>
        <w:t>les parties</w:t>
      </w:r>
      <w:r w:rsidR="00687120" w:rsidRPr="00C533A8">
        <w:rPr>
          <w:lang w:val="fr-FR"/>
        </w:rPr>
        <w:t>, peuvent se résumer comme suit.</w:t>
      </w:r>
    </w:p>
    <w:p w:rsidR="00687120" w:rsidRDefault="00687120" w:rsidP="00687120">
      <w:pPr>
        <w:pStyle w:val="ECHRPara"/>
        <w:rPr>
          <w:lang w:val="fr-FR"/>
        </w:rPr>
      </w:pPr>
      <w:r>
        <w:rPr>
          <w:lang w:val="fr-FR"/>
        </w:rPr>
        <w:fldChar w:fldCharType="begin"/>
      </w:r>
      <w:r>
        <w:rPr>
          <w:lang w:val="fr-FR"/>
        </w:rPr>
        <w:instrText xml:space="preserve"> SEQ level0 \*arabic </w:instrText>
      </w:r>
      <w:r>
        <w:rPr>
          <w:lang w:val="fr-FR"/>
        </w:rPr>
        <w:fldChar w:fldCharType="separate"/>
      </w:r>
      <w:r w:rsidR="0096090F">
        <w:rPr>
          <w:noProof/>
          <w:lang w:val="fr-FR"/>
        </w:rPr>
        <w:t>7</w:t>
      </w:r>
      <w:r>
        <w:rPr>
          <w:lang w:val="fr-FR"/>
        </w:rPr>
        <w:fldChar w:fldCharType="end"/>
      </w:r>
      <w:r>
        <w:rPr>
          <w:lang w:val="fr-FR"/>
        </w:rPr>
        <w:t>.  </w:t>
      </w:r>
      <w:proofErr w:type="gramStart"/>
      <w:r>
        <w:rPr>
          <w:lang w:val="fr-FR"/>
        </w:rPr>
        <w:t>La requérante</w:t>
      </w:r>
      <w:proofErr w:type="gramEnd"/>
      <w:r>
        <w:rPr>
          <w:lang w:val="fr-FR"/>
        </w:rPr>
        <w:t xml:space="preserve"> est la mère de trois enfants : R., P. et J., nés respectivement </w:t>
      </w:r>
      <w:r w:rsidR="00774930">
        <w:rPr>
          <w:lang w:val="fr-FR"/>
        </w:rPr>
        <w:t xml:space="preserve">en </w:t>
      </w:r>
      <w:r>
        <w:rPr>
          <w:lang w:val="fr-FR"/>
        </w:rPr>
        <w:t xml:space="preserve">2005, </w:t>
      </w:r>
      <w:r w:rsidR="00A5628A">
        <w:rPr>
          <w:lang w:val="fr-FR"/>
        </w:rPr>
        <w:t>2006 et 2008.</w:t>
      </w:r>
    </w:p>
    <w:p w:rsidR="00C31CD3" w:rsidRDefault="00687120" w:rsidP="00687120">
      <w:pPr>
        <w:pStyle w:val="ECHRPara"/>
        <w:rPr>
          <w:lang w:val="fr-FR"/>
        </w:rPr>
      </w:pPr>
      <w:r>
        <w:rPr>
          <w:lang w:val="fr-FR"/>
        </w:rPr>
        <w:lastRenderedPageBreak/>
        <w:fldChar w:fldCharType="begin"/>
      </w:r>
      <w:r>
        <w:rPr>
          <w:lang w:val="fr-FR"/>
        </w:rPr>
        <w:instrText xml:space="preserve"> SEQ level0 \*arabic </w:instrText>
      </w:r>
      <w:r>
        <w:rPr>
          <w:lang w:val="fr-FR"/>
        </w:rPr>
        <w:fldChar w:fldCharType="separate"/>
      </w:r>
      <w:r w:rsidR="0096090F">
        <w:rPr>
          <w:noProof/>
          <w:lang w:val="fr-FR"/>
        </w:rPr>
        <w:t>8</w:t>
      </w:r>
      <w:r>
        <w:rPr>
          <w:lang w:val="fr-FR"/>
        </w:rPr>
        <w:fldChar w:fldCharType="end"/>
      </w:r>
      <w:r>
        <w:rPr>
          <w:lang w:val="fr-FR"/>
        </w:rPr>
        <w:t>.  À l</w:t>
      </w:r>
      <w:r w:rsidR="00E91700">
        <w:rPr>
          <w:lang w:val="fr-FR"/>
        </w:rPr>
        <w:t>’</w:t>
      </w:r>
      <w:r>
        <w:rPr>
          <w:lang w:val="fr-FR"/>
        </w:rPr>
        <w:t>époque des faits, la requérante vivait avec le père des enfants, souffrait de dépression et suivait une thérapie pharmacologique.</w:t>
      </w:r>
    </w:p>
    <w:p w:rsidR="00C31CD3" w:rsidRDefault="00687120" w:rsidP="00687120">
      <w:pPr>
        <w:pStyle w:val="ECHRPara"/>
        <w:rPr>
          <w:lang w:val="fr-FR"/>
        </w:rPr>
      </w:pPr>
      <w:r>
        <w:rPr>
          <w:lang w:val="fr-FR"/>
        </w:rPr>
        <w:fldChar w:fldCharType="begin"/>
      </w:r>
      <w:r>
        <w:rPr>
          <w:lang w:val="fr-FR"/>
        </w:rPr>
        <w:instrText xml:space="preserve"> SEQ level0 \*arabic </w:instrText>
      </w:r>
      <w:r>
        <w:rPr>
          <w:lang w:val="fr-FR"/>
        </w:rPr>
        <w:fldChar w:fldCharType="separate"/>
      </w:r>
      <w:r w:rsidR="0096090F">
        <w:rPr>
          <w:noProof/>
          <w:lang w:val="fr-FR"/>
        </w:rPr>
        <w:t>9</w:t>
      </w:r>
      <w:r>
        <w:rPr>
          <w:lang w:val="fr-FR"/>
        </w:rPr>
        <w:fldChar w:fldCharType="end"/>
      </w:r>
      <w:r>
        <w:rPr>
          <w:lang w:val="fr-FR"/>
        </w:rPr>
        <w:t>.  En août 2009, les services sociaux informèrent le tribunal pour enfants de Rome (ci-après « le tribunal ») qu</w:t>
      </w:r>
      <w:r w:rsidR="00E91700">
        <w:rPr>
          <w:lang w:val="fr-FR"/>
        </w:rPr>
        <w:t>’</w:t>
      </w:r>
      <w:r>
        <w:rPr>
          <w:lang w:val="fr-FR"/>
        </w:rPr>
        <w:t xml:space="preserve">à plusieurs reprises les enfants avaient été hospitalisés </w:t>
      </w:r>
      <w:r w:rsidR="00600F74">
        <w:rPr>
          <w:lang w:val="fr-FR"/>
        </w:rPr>
        <w:t>à la suite de</w:t>
      </w:r>
      <w:r>
        <w:rPr>
          <w:lang w:val="fr-FR"/>
        </w:rPr>
        <w:t xml:space="preserve"> l</w:t>
      </w:r>
      <w:r w:rsidR="00E91700">
        <w:rPr>
          <w:lang w:val="fr-FR"/>
        </w:rPr>
        <w:t>’</w:t>
      </w:r>
      <w:r>
        <w:rPr>
          <w:lang w:val="fr-FR"/>
        </w:rPr>
        <w:t>ingestion accidentelle de médicaments et une procédure en urgence fut ouv</w:t>
      </w:r>
      <w:r w:rsidR="00CB6A06">
        <w:rPr>
          <w:lang w:val="fr-FR"/>
        </w:rPr>
        <w:t>erte devant le tribunal. Par une décision</w:t>
      </w:r>
      <w:r>
        <w:rPr>
          <w:lang w:val="fr-FR"/>
        </w:rPr>
        <w:t xml:space="preserve"> du 11 août 2009, le tribunal ordonna l</w:t>
      </w:r>
      <w:r w:rsidR="00E91700">
        <w:rPr>
          <w:lang w:val="fr-FR"/>
        </w:rPr>
        <w:t>’</w:t>
      </w:r>
      <w:r>
        <w:rPr>
          <w:lang w:val="fr-FR"/>
        </w:rPr>
        <w:t>éloignement des enfants de la famille et leur placement dans un institut et chargea les services sociaux d</w:t>
      </w:r>
      <w:r w:rsidR="00E91700">
        <w:rPr>
          <w:lang w:val="fr-FR"/>
        </w:rPr>
        <w:t>’</w:t>
      </w:r>
      <w:r>
        <w:rPr>
          <w:lang w:val="fr-FR"/>
        </w:rPr>
        <w:t>élaborer un projet en faveur des enfants.</w:t>
      </w:r>
    </w:p>
    <w:p w:rsidR="00C31CD3" w:rsidRDefault="00AA2B5D" w:rsidP="00687120">
      <w:pPr>
        <w:pStyle w:val="ECHRPara"/>
        <w:rPr>
          <w:lang w:val="fr-FR"/>
        </w:rPr>
      </w:pPr>
      <w:r>
        <w:rPr>
          <w:lang w:val="fr-FR"/>
        </w:rPr>
        <w:fldChar w:fldCharType="begin"/>
      </w:r>
      <w:r>
        <w:rPr>
          <w:lang w:val="fr-FR"/>
        </w:rPr>
        <w:instrText xml:space="preserve"> SEQ level0 \*arabic </w:instrText>
      </w:r>
      <w:r>
        <w:rPr>
          <w:lang w:val="fr-FR"/>
        </w:rPr>
        <w:fldChar w:fldCharType="separate"/>
      </w:r>
      <w:r w:rsidR="0096090F">
        <w:rPr>
          <w:noProof/>
          <w:lang w:val="fr-FR"/>
        </w:rPr>
        <w:t>10</w:t>
      </w:r>
      <w:r>
        <w:rPr>
          <w:lang w:val="fr-FR"/>
        </w:rPr>
        <w:fldChar w:fldCharType="end"/>
      </w:r>
      <w:r>
        <w:rPr>
          <w:lang w:val="fr-FR"/>
        </w:rPr>
        <w:t>.  </w:t>
      </w:r>
      <w:r w:rsidR="00687120">
        <w:rPr>
          <w:lang w:val="fr-FR"/>
        </w:rPr>
        <w:t xml:space="preserve">Le 20 octobre 2009, la requérante et le père des enfants furent entendus par le tribunal. Ils </w:t>
      </w:r>
      <w:r w:rsidR="00E42225">
        <w:rPr>
          <w:lang w:val="fr-FR"/>
        </w:rPr>
        <w:t xml:space="preserve">reconnurent </w:t>
      </w:r>
      <w:r w:rsidR="00687120">
        <w:rPr>
          <w:lang w:val="fr-FR"/>
        </w:rPr>
        <w:t>qu</w:t>
      </w:r>
      <w:r w:rsidR="00E91700">
        <w:rPr>
          <w:lang w:val="fr-FR"/>
        </w:rPr>
        <w:t>’</w:t>
      </w:r>
      <w:r w:rsidR="00687120">
        <w:rPr>
          <w:lang w:val="fr-FR"/>
        </w:rPr>
        <w:t xml:space="preserve">en raison </w:t>
      </w:r>
      <w:r w:rsidR="00601DF7">
        <w:rPr>
          <w:lang w:val="fr-FR"/>
        </w:rPr>
        <w:t>de l</w:t>
      </w:r>
      <w:r w:rsidR="00E91700">
        <w:rPr>
          <w:lang w:val="fr-FR"/>
        </w:rPr>
        <w:t>’</w:t>
      </w:r>
      <w:r w:rsidR="00601DF7">
        <w:rPr>
          <w:lang w:val="fr-FR"/>
        </w:rPr>
        <w:t>état de</w:t>
      </w:r>
      <w:r w:rsidR="00687120">
        <w:rPr>
          <w:lang w:val="fr-FR"/>
        </w:rPr>
        <w:t xml:space="preserve"> santé de la requérante et des effets secondaires des médicaments qu</w:t>
      </w:r>
      <w:r w:rsidR="00E91700">
        <w:rPr>
          <w:lang w:val="fr-FR"/>
        </w:rPr>
        <w:t>’</w:t>
      </w:r>
      <w:r w:rsidR="00687120">
        <w:rPr>
          <w:lang w:val="fr-FR"/>
        </w:rPr>
        <w:t xml:space="preserve">elle prenait pour soigner </w:t>
      </w:r>
      <w:r w:rsidR="00601DF7">
        <w:rPr>
          <w:lang w:val="fr-FR"/>
        </w:rPr>
        <w:t xml:space="preserve">sa </w:t>
      </w:r>
      <w:r w:rsidR="00687120">
        <w:rPr>
          <w:lang w:val="fr-FR"/>
        </w:rPr>
        <w:t>dépression</w:t>
      </w:r>
      <w:r w:rsidR="00DE4D1E">
        <w:rPr>
          <w:lang w:val="fr-FR"/>
        </w:rPr>
        <w:t>,</w:t>
      </w:r>
      <w:r w:rsidR="00687120">
        <w:rPr>
          <w:lang w:val="fr-FR"/>
        </w:rPr>
        <w:t xml:space="preserve"> ils avaient eu des diffi</w:t>
      </w:r>
      <w:r w:rsidR="00A5628A">
        <w:rPr>
          <w:lang w:val="fr-FR"/>
        </w:rPr>
        <w:t>cultés à s</w:t>
      </w:r>
      <w:r w:rsidR="00E91700">
        <w:rPr>
          <w:lang w:val="fr-FR"/>
        </w:rPr>
        <w:t>’</w:t>
      </w:r>
      <w:r w:rsidR="00A5628A">
        <w:rPr>
          <w:lang w:val="fr-FR"/>
        </w:rPr>
        <w:t xml:space="preserve">occuper des enfants. </w:t>
      </w:r>
      <w:r w:rsidR="00687120">
        <w:rPr>
          <w:lang w:val="fr-FR"/>
        </w:rPr>
        <w:t>Ils affirmèrent</w:t>
      </w:r>
      <w:r w:rsidR="004E197D">
        <w:rPr>
          <w:lang w:val="fr-FR"/>
        </w:rPr>
        <w:t>, cependant,</w:t>
      </w:r>
      <w:r w:rsidR="00687120">
        <w:rPr>
          <w:lang w:val="fr-FR"/>
        </w:rPr>
        <w:t xml:space="preserve"> qu</w:t>
      </w:r>
      <w:r w:rsidR="00E91700">
        <w:rPr>
          <w:lang w:val="fr-FR"/>
        </w:rPr>
        <w:t>’</w:t>
      </w:r>
      <w:r w:rsidR="00687120">
        <w:rPr>
          <w:lang w:val="fr-FR"/>
        </w:rPr>
        <w:t>ils pouvaient s</w:t>
      </w:r>
      <w:r w:rsidR="00E91700">
        <w:rPr>
          <w:lang w:val="fr-FR"/>
        </w:rPr>
        <w:t>’</w:t>
      </w:r>
      <w:r w:rsidR="00687120">
        <w:rPr>
          <w:lang w:val="fr-FR"/>
        </w:rPr>
        <w:t>occuper de manière adéquate des enfants avec l</w:t>
      </w:r>
      <w:r w:rsidR="00E91700">
        <w:rPr>
          <w:lang w:val="fr-FR"/>
        </w:rPr>
        <w:t>’</w:t>
      </w:r>
      <w:r w:rsidR="00687120">
        <w:rPr>
          <w:lang w:val="fr-FR"/>
        </w:rPr>
        <w:t xml:space="preserve">aide des services sociaux et du grand-père. La requérante </w:t>
      </w:r>
      <w:r w:rsidR="004E197D">
        <w:rPr>
          <w:lang w:val="fr-FR"/>
        </w:rPr>
        <w:t xml:space="preserve">indiqua </w:t>
      </w:r>
      <w:r w:rsidR="00687120">
        <w:rPr>
          <w:lang w:val="fr-FR"/>
        </w:rPr>
        <w:t>qu</w:t>
      </w:r>
      <w:r w:rsidR="00E91700">
        <w:rPr>
          <w:lang w:val="fr-FR"/>
        </w:rPr>
        <w:t>’</w:t>
      </w:r>
      <w:r w:rsidR="00687120">
        <w:rPr>
          <w:lang w:val="fr-FR"/>
        </w:rPr>
        <w:t xml:space="preserve">elle suivait une thérapie et que les effets secondaires initialement </w:t>
      </w:r>
      <w:r w:rsidR="000F6550">
        <w:rPr>
          <w:lang w:val="fr-FR"/>
        </w:rPr>
        <w:t xml:space="preserve">induits </w:t>
      </w:r>
      <w:r w:rsidR="00687120">
        <w:rPr>
          <w:lang w:val="fr-FR"/>
        </w:rPr>
        <w:t>par les médicaments ne s</w:t>
      </w:r>
      <w:r w:rsidR="00E91700">
        <w:rPr>
          <w:lang w:val="fr-FR"/>
        </w:rPr>
        <w:t>’</w:t>
      </w:r>
      <w:r w:rsidR="00687120">
        <w:rPr>
          <w:lang w:val="fr-FR"/>
        </w:rPr>
        <w:t>étaient plus manifestés. Les deux parents sollicitèrent la mise en place d</w:t>
      </w:r>
      <w:r w:rsidR="00E91700">
        <w:rPr>
          <w:lang w:val="fr-FR"/>
        </w:rPr>
        <w:t>’</w:t>
      </w:r>
      <w:r w:rsidR="00687120">
        <w:rPr>
          <w:lang w:val="fr-FR"/>
        </w:rPr>
        <w:t xml:space="preserve">un projet de soutien élaboré par les services sociaux </w:t>
      </w:r>
      <w:r w:rsidR="000F6550">
        <w:rPr>
          <w:lang w:val="fr-FR"/>
        </w:rPr>
        <w:t>en vue de</w:t>
      </w:r>
      <w:r w:rsidR="00687120">
        <w:rPr>
          <w:lang w:val="fr-FR"/>
        </w:rPr>
        <w:t xml:space="preserve"> permettre le retour des enfants en famille.</w:t>
      </w:r>
    </w:p>
    <w:p w:rsidR="000F6550" w:rsidRDefault="00AA2B5D" w:rsidP="00687120">
      <w:pPr>
        <w:pStyle w:val="ECHRPara"/>
        <w:rPr>
          <w:lang w:val="fr-FR"/>
        </w:rPr>
      </w:pPr>
      <w:r>
        <w:rPr>
          <w:lang w:val="fr-FR"/>
        </w:rPr>
        <w:fldChar w:fldCharType="begin"/>
      </w:r>
      <w:r>
        <w:rPr>
          <w:lang w:val="fr-FR"/>
        </w:rPr>
        <w:instrText xml:space="preserve"> SEQ level0 \*arabic </w:instrText>
      </w:r>
      <w:r>
        <w:rPr>
          <w:lang w:val="fr-FR"/>
        </w:rPr>
        <w:fldChar w:fldCharType="separate"/>
      </w:r>
      <w:r w:rsidR="0096090F">
        <w:rPr>
          <w:noProof/>
          <w:lang w:val="fr-FR"/>
        </w:rPr>
        <w:t>11</w:t>
      </w:r>
      <w:r>
        <w:rPr>
          <w:lang w:val="fr-FR"/>
        </w:rPr>
        <w:fldChar w:fldCharType="end"/>
      </w:r>
      <w:r>
        <w:rPr>
          <w:lang w:val="fr-FR"/>
        </w:rPr>
        <w:t>.  </w:t>
      </w:r>
      <w:r w:rsidR="00687120">
        <w:rPr>
          <w:lang w:val="fr-FR"/>
        </w:rPr>
        <w:t>Le 3 décembre 2009, la psychiatre déposa son rapport concernant la requérante. Il ressort</w:t>
      </w:r>
      <w:r w:rsidR="004E197D">
        <w:rPr>
          <w:lang w:val="fr-FR"/>
        </w:rPr>
        <w:t>ait</w:t>
      </w:r>
      <w:r w:rsidR="00687120">
        <w:rPr>
          <w:lang w:val="fr-FR"/>
        </w:rPr>
        <w:t xml:space="preserve"> de ce dernier qu</w:t>
      </w:r>
      <w:r w:rsidR="00E91700">
        <w:rPr>
          <w:lang w:val="fr-FR"/>
        </w:rPr>
        <w:t>’</w:t>
      </w:r>
      <w:r w:rsidR="00687120">
        <w:rPr>
          <w:lang w:val="fr-FR"/>
        </w:rPr>
        <w:t>elle suivait une thérapie pharmacologique, qu</w:t>
      </w:r>
      <w:r w:rsidR="00E91700">
        <w:rPr>
          <w:lang w:val="fr-FR"/>
        </w:rPr>
        <w:t>’</w:t>
      </w:r>
      <w:r w:rsidR="00687120">
        <w:rPr>
          <w:lang w:val="fr-FR"/>
        </w:rPr>
        <w:t xml:space="preserve">elle était </w:t>
      </w:r>
      <w:r w:rsidR="00601DF7">
        <w:rPr>
          <w:lang w:val="fr-FR"/>
        </w:rPr>
        <w:t>disposée</w:t>
      </w:r>
      <w:r w:rsidR="00687120">
        <w:rPr>
          <w:lang w:val="fr-FR"/>
        </w:rPr>
        <w:t xml:space="preserve"> à</w:t>
      </w:r>
      <w:r w:rsidR="00C31CD3">
        <w:rPr>
          <w:lang w:val="fr-FR"/>
        </w:rPr>
        <w:t xml:space="preserve"> </w:t>
      </w:r>
      <w:r w:rsidR="00687120">
        <w:rPr>
          <w:lang w:val="fr-FR"/>
        </w:rPr>
        <w:t>suivre une psychothérapie et à accepter l</w:t>
      </w:r>
      <w:r w:rsidR="00E91700">
        <w:rPr>
          <w:lang w:val="fr-FR"/>
        </w:rPr>
        <w:t>’</w:t>
      </w:r>
      <w:r w:rsidR="00687120">
        <w:rPr>
          <w:lang w:val="fr-FR"/>
        </w:rPr>
        <w:t>aide des services sociaux et qu</w:t>
      </w:r>
      <w:r w:rsidR="00E91700">
        <w:rPr>
          <w:lang w:val="fr-FR"/>
        </w:rPr>
        <w:t>’</w:t>
      </w:r>
      <w:r w:rsidR="00687120">
        <w:rPr>
          <w:lang w:val="fr-FR"/>
        </w:rPr>
        <w:t>elle avait un lien affectif très fort avec ses enfants.</w:t>
      </w:r>
    </w:p>
    <w:p w:rsidR="00C31CD3" w:rsidRDefault="00CD4DB6" w:rsidP="00687120">
      <w:pPr>
        <w:pStyle w:val="ECHRPara"/>
        <w:rPr>
          <w:lang w:val="fr-FR"/>
        </w:rPr>
      </w:pPr>
      <w:r>
        <w:rPr>
          <w:lang w:val="fr-FR"/>
        </w:rPr>
        <w:t>À</w:t>
      </w:r>
      <w:r w:rsidR="00687120">
        <w:rPr>
          <w:lang w:val="fr-FR"/>
        </w:rPr>
        <w:t xml:space="preserve"> la même date</w:t>
      </w:r>
      <w:r>
        <w:rPr>
          <w:lang w:val="fr-FR"/>
        </w:rPr>
        <w:t>,</w:t>
      </w:r>
      <w:r w:rsidR="00687120">
        <w:rPr>
          <w:lang w:val="fr-FR"/>
        </w:rPr>
        <w:t xml:space="preserve"> le </w:t>
      </w:r>
      <w:r>
        <w:rPr>
          <w:lang w:val="fr-FR"/>
        </w:rPr>
        <w:t>G</w:t>
      </w:r>
      <w:r w:rsidR="00687120">
        <w:rPr>
          <w:lang w:val="fr-FR"/>
        </w:rPr>
        <w:t xml:space="preserve">roupe de travail </w:t>
      </w:r>
      <w:r>
        <w:rPr>
          <w:lang w:val="fr-FR"/>
        </w:rPr>
        <w:t>intégré</w:t>
      </w:r>
      <w:r w:rsidR="00687120">
        <w:rPr>
          <w:lang w:val="fr-FR"/>
        </w:rPr>
        <w:t xml:space="preserve"> </w:t>
      </w:r>
      <w:r>
        <w:rPr>
          <w:lang w:val="fr-FR"/>
        </w:rPr>
        <w:t>sur</w:t>
      </w:r>
      <w:r w:rsidR="00687120">
        <w:rPr>
          <w:lang w:val="fr-FR"/>
        </w:rPr>
        <w:t xml:space="preserve"> les adoptions </w:t>
      </w:r>
      <w:r>
        <w:rPr>
          <w:lang w:val="fr-FR"/>
        </w:rPr>
        <w:t>(</w:t>
      </w:r>
      <w:r w:rsidR="00687120">
        <w:rPr>
          <w:lang w:val="fr-FR"/>
        </w:rPr>
        <w:t>« </w:t>
      </w:r>
      <w:r w:rsidR="007353F8">
        <w:rPr>
          <w:lang w:val="fr-FR"/>
        </w:rPr>
        <w:t>G</w:t>
      </w:r>
      <w:r w:rsidR="00DB02A4">
        <w:rPr>
          <w:lang w:val="fr-FR"/>
        </w:rPr>
        <w:t>.</w:t>
      </w:r>
      <w:r w:rsidR="007353F8">
        <w:rPr>
          <w:lang w:val="fr-FR"/>
        </w:rPr>
        <w:t>I</w:t>
      </w:r>
      <w:r w:rsidR="00DB02A4">
        <w:rPr>
          <w:lang w:val="fr-FR"/>
        </w:rPr>
        <w:t>.</w:t>
      </w:r>
      <w:r w:rsidR="007353F8">
        <w:rPr>
          <w:lang w:val="fr-FR"/>
        </w:rPr>
        <w:t>L</w:t>
      </w:r>
      <w:r w:rsidR="00DB02A4">
        <w:rPr>
          <w:lang w:val="fr-FR"/>
        </w:rPr>
        <w:t>.</w:t>
      </w:r>
      <w:r w:rsidR="00687120">
        <w:rPr>
          <w:lang w:val="fr-FR"/>
        </w:rPr>
        <w:t> ») déposa son rapport</w:t>
      </w:r>
      <w:r w:rsidR="000F6550">
        <w:rPr>
          <w:lang w:val="fr-FR"/>
        </w:rPr>
        <w:t xml:space="preserve">. Il y indiquait </w:t>
      </w:r>
      <w:r w:rsidR="00687120">
        <w:rPr>
          <w:lang w:val="fr-FR"/>
        </w:rPr>
        <w:t xml:space="preserve">que, malgré les difficultés familiales, les parents avaient réagi positivement, avaient participé aux rencontres organisées et étaient </w:t>
      </w:r>
      <w:r w:rsidR="00601DF7">
        <w:rPr>
          <w:lang w:val="fr-FR"/>
        </w:rPr>
        <w:t>disposé</w:t>
      </w:r>
      <w:r w:rsidR="00687120">
        <w:rPr>
          <w:lang w:val="fr-FR"/>
        </w:rPr>
        <w:t xml:space="preserve">s à accepter le soutien des services sociaux. </w:t>
      </w:r>
      <w:r w:rsidR="000F6550">
        <w:rPr>
          <w:lang w:val="fr-FR"/>
        </w:rPr>
        <w:t>En conséquence de quoi</w:t>
      </w:r>
      <w:r w:rsidR="00687120">
        <w:rPr>
          <w:lang w:val="fr-FR"/>
        </w:rPr>
        <w:t xml:space="preserve">, le </w:t>
      </w:r>
      <w:r w:rsidR="007353F8">
        <w:rPr>
          <w:lang w:val="fr-FR"/>
        </w:rPr>
        <w:t>G</w:t>
      </w:r>
      <w:r w:rsidR="00DB02A4">
        <w:rPr>
          <w:lang w:val="fr-FR"/>
        </w:rPr>
        <w:t>.</w:t>
      </w:r>
      <w:r w:rsidR="007353F8">
        <w:rPr>
          <w:lang w:val="fr-FR"/>
        </w:rPr>
        <w:t>I</w:t>
      </w:r>
      <w:r w:rsidR="00DB02A4">
        <w:rPr>
          <w:lang w:val="fr-FR"/>
        </w:rPr>
        <w:t>.</w:t>
      </w:r>
      <w:r w:rsidR="007353F8">
        <w:rPr>
          <w:lang w:val="fr-FR"/>
        </w:rPr>
        <w:t>L</w:t>
      </w:r>
      <w:r w:rsidR="00DB02A4">
        <w:rPr>
          <w:lang w:val="fr-FR"/>
        </w:rPr>
        <w:t>.</w:t>
      </w:r>
      <w:r w:rsidR="00687120">
        <w:rPr>
          <w:lang w:val="fr-FR"/>
        </w:rPr>
        <w:t xml:space="preserve"> proposa</w:t>
      </w:r>
      <w:r w:rsidR="000F6550">
        <w:rPr>
          <w:lang w:val="fr-FR"/>
        </w:rPr>
        <w:t>it</w:t>
      </w:r>
      <w:r w:rsidR="00687120">
        <w:rPr>
          <w:lang w:val="fr-FR"/>
        </w:rPr>
        <w:t xml:space="preserve"> le retour des enfants chez leurs parents et la mise en place d</w:t>
      </w:r>
      <w:r w:rsidR="00E91700">
        <w:rPr>
          <w:lang w:val="fr-FR"/>
        </w:rPr>
        <w:t>’</w:t>
      </w:r>
      <w:r w:rsidR="00687120">
        <w:rPr>
          <w:lang w:val="fr-FR"/>
        </w:rPr>
        <w:t>un projet de soutien à la famille.</w:t>
      </w:r>
    </w:p>
    <w:p w:rsidR="004E197D" w:rsidRDefault="00944939" w:rsidP="00687120">
      <w:pPr>
        <w:pStyle w:val="ECHRPara"/>
        <w:rPr>
          <w:lang w:val="fr-FR"/>
        </w:rPr>
      </w:pPr>
      <w:r>
        <w:rPr>
          <w:lang w:val="fr-FR"/>
        </w:rPr>
        <w:fldChar w:fldCharType="begin"/>
      </w:r>
      <w:r>
        <w:rPr>
          <w:lang w:val="fr-FR"/>
        </w:rPr>
        <w:instrText xml:space="preserve"> SEQ level0 \*arabic </w:instrText>
      </w:r>
      <w:r>
        <w:rPr>
          <w:lang w:val="fr-FR"/>
        </w:rPr>
        <w:fldChar w:fldCharType="separate"/>
      </w:r>
      <w:r w:rsidR="0096090F">
        <w:rPr>
          <w:noProof/>
          <w:lang w:val="fr-FR"/>
        </w:rPr>
        <w:t>12</w:t>
      </w:r>
      <w:r>
        <w:rPr>
          <w:lang w:val="fr-FR"/>
        </w:rPr>
        <w:fldChar w:fldCharType="end"/>
      </w:r>
      <w:r>
        <w:rPr>
          <w:lang w:val="fr-FR"/>
        </w:rPr>
        <w:t>.  </w:t>
      </w:r>
      <w:r w:rsidR="00491508">
        <w:rPr>
          <w:lang w:val="fr-FR"/>
        </w:rPr>
        <w:t xml:space="preserve">Par une décision </w:t>
      </w:r>
      <w:r w:rsidR="00687120">
        <w:rPr>
          <w:lang w:val="fr-FR"/>
        </w:rPr>
        <w:t xml:space="preserve">du 19 janvier 2010, le tribunal, compte tenu des rapports des experts ainsi que du fait que le grand-père paternel était disponible </w:t>
      </w:r>
      <w:r w:rsidR="00601DF7">
        <w:rPr>
          <w:lang w:val="fr-FR"/>
        </w:rPr>
        <w:t xml:space="preserve">pour </w:t>
      </w:r>
      <w:r w:rsidR="00687120">
        <w:rPr>
          <w:lang w:val="fr-FR"/>
        </w:rPr>
        <w:t>aider son fils et la requérante à s</w:t>
      </w:r>
      <w:r w:rsidR="00E91700">
        <w:rPr>
          <w:lang w:val="fr-FR"/>
        </w:rPr>
        <w:t>’</w:t>
      </w:r>
      <w:r w:rsidR="00687120">
        <w:rPr>
          <w:lang w:val="fr-FR"/>
        </w:rPr>
        <w:t>occuper des enfants, ordonna le retour des enfants chez leurs parents.</w:t>
      </w:r>
    </w:p>
    <w:p w:rsidR="00C31CD3" w:rsidRDefault="00687120" w:rsidP="005D7D74">
      <w:pPr>
        <w:pStyle w:val="ECHRPara"/>
        <w:rPr>
          <w:lang w:val="fr-FR"/>
        </w:rPr>
      </w:pPr>
      <w:r>
        <w:rPr>
          <w:lang w:val="fr-FR"/>
        </w:rPr>
        <w:t xml:space="preserve">Le 24 mars 2010, </w:t>
      </w:r>
      <w:r w:rsidR="004E197D">
        <w:rPr>
          <w:lang w:val="fr-FR"/>
        </w:rPr>
        <w:t xml:space="preserve">cependant, </w:t>
      </w:r>
      <w:r>
        <w:rPr>
          <w:lang w:val="fr-FR"/>
        </w:rPr>
        <w:t>le projet de rapprochement parents-enfants fut interrompu et les enfants f</w:t>
      </w:r>
      <w:r w:rsidR="00972E78">
        <w:rPr>
          <w:lang w:val="fr-FR"/>
        </w:rPr>
        <w:t>urent éloignés à nouveau de la</w:t>
      </w:r>
      <w:r>
        <w:rPr>
          <w:lang w:val="fr-FR"/>
        </w:rPr>
        <w:t xml:space="preserve"> famille, au motif que la requérante avait été hospitalisée en raison de </w:t>
      </w:r>
      <w:r w:rsidR="006907AF">
        <w:rPr>
          <w:lang w:val="fr-FR"/>
        </w:rPr>
        <w:t>l</w:t>
      </w:r>
      <w:r w:rsidR="00E91700">
        <w:rPr>
          <w:lang w:val="fr-FR"/>
        </w:rPr>
        <w:t>’</w:t>
      </w:r>
      <w:r w:rsidR="006907AF">
        <w:rPr>
          <w:lang w:val="fr-FR"/>
        </w:rPr>
        <w:t xml:space="preserve">aggravation de </w:t>
      </w:r>
      <w:r>
        <w:rPr>
          <w:lang w:val="fr-FR"/>
        </w:rPr>
        <w:t xml:space="preserve">sa maladie, </w:t>
      </w:r>
      <w:r w:rsidR="000F6550">
        <w:rPr>
          <w:lang w:val="fr-FR"/>
        </w:rPr>
        <w:t xml:space="preserve">que </w:t>
      </w:r>
      <w:r>
        <w:rPr>
          <w:lang w:val="fr-FR"/>
        </w:rPr>
        <w:t>le père avait quitté l</w:t>
      </w:r>
      <w:r w:rsidR="00E91700">
        <w:rPr>
          <w:lang w:val="fr-FR"/>
        </w:rPr>
        <w:t>’</w:t>
      </w:r>
      <w:r>
        <w:rPr>
          <w:lang w:val="fr-FR"/>
        </w:rPr>
        <w:t xml:space="preserve">habitation familiale et </w:t>
      </w:r>
      <w:r w:rsidR="000F6550">
        <w:rPr>
          <w:lang w:val="fr-FR"/>
        </w:rPr>
        <w:t xml:space="preserve">que </w:t>
      </w:r>
      <w:r w:rsidR="005D7D74">
        <w:rPr>
          <w:lang w:val="fr-FR"/>
        </w:rPr>
        <w:t>le grand</w:t>
      </w:r>
      <w:r w:rsidR="00627C3E">
        <w:rPr>
          <w:lang w:val="fr-FR"/>
        </w:rPr>
        <w:noBreakHyphen/>
      </w:r>
      <w:r>
        <w:rPr>
          <w:lang w:val="fr-FR"/>
        </w:rPr>
        <w:t xml:space="preserve">père était malade. Le tribunal établit </w:t>
      </w:r>
      <w:r w:rsidR="004E197D">
        <w:rPr>
          <w:lang w:val="fr-FR"/>
        </w:rPr>
        <w:t xml:space="preserve">alors </w:t>
      </w:r>
      <w:r w:rsidR="000F6550">
        <w:rPr>
          <w:lang w:val="fr-FR"/>
        </w:rPr>
        <w:t xml:space="preserve">pour les deux parents </w:t>
      </w:r>
      <w:r w:rsidR="000F6550" w:rsidRPr="000F6550">
        <w:rPr>
          <w:lang w:val="fr-FR"/>
        </w:rPr>
        <w:t>un droit de visite</w:t>
      </w:r>
      <w:r w:rsidR="00CF7167">
        <w:rPr>
          <w:lang w:val="fr-FR"/>
        </w:rPr>
        <w:t>,</w:t>
      </w:r>
      <w:r w:rsidR="000F6550" w:rsidRPr="000F6550">
        <w:rPr>
          <w:lang w:val="fr-FR"/>
        </w:rPr>
        <w:t xml:space="preserve"> </w:t>
      </w:r>
      <w:r w:rsidR="00CF7167">
        <w:rPr>
          <w:lang w:val="fr-FR"/>
        </w:rPr>
        <w:t xml:space="preserve">fixé comme suit : pour la requérante, </w:t>
      </w:r>
      <w:r>
        <w:rPr>
          <w:lang w:val="fr-FR"/>
        </w:rPr>
        <w:t>une heure tous les quinze jours</w:t>
      </w:r>
      <w:r w:rsidR="00CF7167">
        <w:rPr>
          <w:lang w:val="fr-FR"/>
        </w:rPr>
        <w:t> ; pour</w:t>
      </w:r>
      <w:r w:rsidR="00A25EF5">
        <w:rPr>
          <w:lang w:val="fr-FR"/>
        </w:rPr>
        <w:t xml:space="preserve"> le père des enfants</w:t>
      </w:r>
      <w:r w:rsidR="00CF7167">
        <w:rPr>
          <w:lang w:val="fr-FR"/>
        </w:rPr>
        <w:t>,</w:t>
      </w:r>
      <w:r>
        <w:rPr>
          <w:lang w:val="fr-FR"/>
        </w:rPr>
        <w:t xml:space="preserve"> deux heures par semaine.</w:t>
      </w:r>
    </w:p>
    <w:p w:rsidR="00C31CD3" w:rsidRDefault="00944939" w:rsidP="00687120">
      <w:pPr>
        <w:pStyle w:val="ECHRPara"/>
        <w:rPr>
          <w:lang w:val="fr-FR"/>
        </w:rPr>
      </w:pPr>
      <w:r>
        <w:rPr>
          <w:lang w:val="fr-FR"/>
        </w:rPr>
        <w:fldChar w:fldCharType="begin"/>
      </w:r>
      <w:r>
        <w:rPr>
          <w:lang w:val="fr-FR"/>
        </w:rPr>
        <w:instrText xml:space="preserve"> SEQ level0 \*arabic </w:instrText>
      </w:r>
      <w:r>
        <w:rPr>
          <w:lang w:val="fr-FR"/>
        </w:rPr>
        <w:fldChar w:fldCharType="separate"/>
      </w:r>
      <w:r w:rsidR="0096090F">
        <w:rPr>
          <w:noProof/>
          <w:lang w:val="fr-FR"/>
        </w:rPr>
        <w:t>13</w:t>
      </w:r>
      <w:r>
        <w:rPr>
          <w:lang w:val="fr-FR"/>
        </w:rPr>
        <w:fldChar w:fldCharType="end"/>
      </w:r>
      <w:r>
        <w:rPr>
          <w:lang w:val="fr-FR"/>
        </w:rPr>
        <w:t>.  </w:t>
      </w:r>
      <w:r w:rsidR="00687120">
        <w:rPr>
          <w:lang w:val="fr-FR"/>
        </w:rPr>
        <w:t>En mars 2010, le procureur demanda l</w:t>
      </w:r>
      <w:r w:rsidR="00E91700">
        <w:rPr>
          <w:lang w:val="fr-FR"/>
        </w:rPr>
        <w:t>’</w:t>
      </w:r>
      <w:r w:rsidR="00687120">
        <w:rPr>
          <w:lang w:val="fr-FR"/>
        </w:rPr>
        <w:t>ouverture d</w:t>
      </w:r>
      <w:r w:rsidR="00E91700">
        <w:rPr>
          <w:lang w:val="fr-FR"/>
        </w:rPr>
        <w:t>’</w:t>
      </w:r>
      <w:r w:rsidR="00687120">
        <w:rPr>
          <w:lang w:val="fr-FR"/>
        </w:rPr>
        <w:t xml:space="preserve">une procédure </w:t>
      </w:r>
      <w:r w:rsidR="00E42225">
        <w:rPr>
          <w:lang w:val="fr-FR"/>
        </w:rPr>
        <w:t xml:space="preserve">de déclaration </w:t>
      </w:r>
      <w:r w:rsidR="00687120">
        <w:rPr>
          <w:lang w:val="fr-FR"/>
        </w:rPr>
        <w:t>d</w:t>
      </w:r>
      <w:r w:rsidR="00E91700">
        <w:rPr>
          <w:lang w:val="fr-FR"/>
        </w:rPr>
        <w:t>’</w:t>
      </w:r>
      <w:r w:rsidR="00687120">
        <w:rPr>
          <w:lang w:val="fr-FR"/>
        </w:rPr>
        <w:t>adoptabilité des enfants.</w:t>
      </w:r>
    </w:p>
    <w:p w:rsidR="00C31CD3" w:rsidRDefault="00944939" w:rsidP="00687120">
      <w:pPr>
        <w:pStyle w:val="ECHRPara"/>
        <w:rPr>
          <w:lang w:val="fr-FR"/>
        </w:rPr>
      </w:pPr>
      <w:r>
        <w:rPr>
          <w:lang w:val="fr-FR"/>
        </w:rPr>
        <w:lastRenderedPageBreak/>
        <w:fldChar w:fldCharType="begin"/>
      </w:r>
      <w:r>
        <w:rPr>
          <w:lang w:val="fr-FR"/>
        </w:rPr>
        <w:instrText xml:space="preserve"> SEQ level0 \*arabic </w:instrText>
      </w:r>
      <w:r>
        <w:rPr>
          <w:lang w:val="fr-FR"/>
        </w:rPr>
        <w:fldChar w:fldCharType="separate"/>
      </w:r>
      <w:r w:rsidR="0096090F">
        <w:rPr>
          <w:noProof/>
          <w:lang w:val="fr-FR"/>
        </w:rPr>
        <w:t>14</w:t>
      </w:r>
      <w:r>
        <w:rPr>
          <w:lang w:val="fr-FR"/>
        </w:rPr>
        <w:fldChar w:fldCharType="end"/>
      </w:r>
      <w:r>
        <w:rPr>
          <w:lang w:val="fr-FR"/>
        </w:rPr>
        <w:t>.  </w:t>
      </w:r>
      <w:r w:rsidR="00687120">
        <w:rPr>
          <w:lang w:val="fr-FR"/>
        </w:rPr>
        <w:t>Le 10 juin 2010, les parents furent entendus par le tribunal. La requérante affirma qu</w:t>
      </w:r>
      <w:r w:rsidR="00E91700">
        <w:rPr>
          <w:lang w:val="fr-FR"/>
        </w:rPr>
        <w:t>’</w:t>
      </w:r>
      <w:r w:rsidR="00687120">
        <w:rPr>
          <w:lang w:val="fr-FR"/>
        </w:rPr>
        <w:t>elle était en train de se soigner</w:t>
      </w:r>
      <w:r w:rsidR="006907AF">
        <w:rPr>
          <w:lang w:val="fr-FR"/>
        </w:rPr>
        <w:t xml:space="preserve">, </w:t>
      </w:r>
      <w:r w:rsidR="00687120">
        <w:rPr>
          <w:lang w:val="fr-FR"/>
        </w:rPr>
        <w:t xml:space="preserve">souligna que </w:t>
      </w:r>
      <w:r w:rsidR="006907AF">
        <w:rPr>
          <w:lang w:val="fr-FR"/>
        </w:rPr>
        <w:t>le père des enfants</w:t>
      </w:r>
      <w:r w:rsidR="00687120">
        <w:rPr>
          <w:lang w:val="fr-FR"/>
        </w:rPr>
        <w:t xml:space="preserve"> était disponible </w:t>
      </w:r>
      <w:r w:rsidR="00601DF7">
        <w:rPr>
          <w:lang w:val="fr-FR"/>
        </w:rPr>
        <w:t xml:space="preserve">pour </w:t>
      </w:r>
      <w:r w:rsidR="00687120">
        <w:rPr>
          <w:lang w:val="fr-FR"/>
        </w:rPr>
        <w:t>s</w:t>
      </w:r>
      <w:r w:rsidR="00E91700">
        <w:rPr>
          <w:lang w:val="fr-FR"/>
        </w:rPr>
        <w:t>’</w:t>
      </w:r>
      <w:r w:rsidR="006907AF">
        <w:rPr>
          <w:lang w:val="fr-FR"/>
        </w:rPr>
        <w:t xml:space="preserve">en </w:t>
      </w:r>
      <w:r w:rsidR="00687120">
        <w:rPr>
          <w:lang w:val="fr-FR"/>
        </w:rPr>
        <w:t>occuper et que</w:t>
      </w:r>
      <w:r w:rsidR="00295BEB">
        <w:rPr>
          <w:lang w:val="fr-FR"/>
        </w:rPr>
        <w:t>,</w:t>
      </w:r>
      <w:r w:rsidR="00687120">
        <w:rPr>
          <w:lang w:val="fr-FR"/>
        </w:rPr>
        <w:t xml:space="preserve"> par conséquent</w:t>
      </w:r>
      <w:r w:rsidR="00295BEB">
        <w:rPr>
          <w:lang w:val="fr-FR"/>
        </w:rPr>
        <w:t>,</w:t>
      </w:r>
      <w:r w:rsidR="00687120">
        <w:rPr>
          <w:lang w:val="fr-FR"/>
        </w:rPr>
        <w:t xml:space="preserve"> </w:t>
      </w:r>
      <w:r w:rsidR="00E42225">
        <w:rPr>
          <w:lang w:val="fr-FR"/>
        </w:rPr>
        <w:t xml:space="preserve">ces derniers </w:t>
      </w:r>
      <w:r w:rsidR="00687120">
        <w:rPr>
          <w:lang w:val="fr-FR"/>
        </w:rPr>
        <w:t>ne se trouvaient pas en situation d</w:t>
      </w:r>
      <w:r w:rsidR="00E91700">
        <w:rPr>
          <w:lang w:val="fr-FR"/>
        </w:rPr>
        <w:t>’</w:t>
      </w:r>
      <w:r w:rsidR="00687120">
        <w:rPr>
          <w:lang w:val="fr-FR"/>
        </w:rPr>
        <w:t>abandon. Le père assurait que, même s</w:t>
      </w:r>
      <w:r w:rsidR="00E91700">
        <w:rPr>
          <w:lang w:val="fr-FR"/>
        </w:rPr>
        <w:t>’</w:t>
      </w:r>
      <w:r w:rsidR="00687120">
        <w:rPr>
          <w:lang w:val="fr-FR"/>
        </w:rPr>
        <w:t>il travaillait, il pouvait s</w:t>
      </w:r>
      <w:r w:rsidR="00E91700">
        <w:rPr>
          <w:lang w:val="fr-FR"/>
        </w:rPr>
        <w:t>’</w:t>
      </w:r>
      <w:r w:rsidR="00687120">
        <w:rPr>
          <w:lang w:val="fr-FR"/>
        </w:rPr>
        <w:t>occuper efficacement des enfants, avec l</w:t>
      </w:r>
      <w:r w:rsidR="00E91700">
        <w:rPr>
          <w:lang w:val="fr-FR"/>
        </w:rPr>
        <w:t>’</w:t>
      </w:r>
      <w:r w:rsidR="00687120">
        <w:rPr>
          <w:lang w:val="fr-FR"/>
        </w:rPr>
        <w:t>aide de son père, et qu</w:t>
      </w:r>
      <w:r w:rsidR="00E91700">
        <w:rPr>
          <w:lang w:val="fr-FR"/>
        </w:rPr>
        <w:t>’</w:t>
      </w:r>
      <w:r w:rsidR="00687120">
        <w:rPr>
          <w:lang w:val="fr-FR"/>
        </w:rPr>
        <w:t>il avait embauché une employée domestique pouvant l</w:t>
      </w:r>
      <w:r w:rsidR="00E91700">
        <w:rPr>
          <w:lang w:val="fr-FR"/>
        </w:rPr>
        <w:t>’</w:t>
      </w:r>
      <w:r w:rsidR="00687120">
        <w:rPr>
          <w:lang w:val="fr-FR"/>
        </w:rPr>
        <w:t>aider.</w:t>
      </w:r>
    </w:p>
    <w:p w:rsidR="00CF7167" w:rsidRDefault="00944939" w:rsidP="00CF7167">
      <w:pPr>
        <w:pStyle w:val="ECHRPara"/>
        <w:rPr>
          <w:lang w:val="fr-FR"/>
        </w:rPr>
      </w:pPr>
      <w:r>
        <w:rPr>
          <w:lang w:val="fr-FR"/>
        </w:rPr>
        <w:fldChar w:fldCharType="begin"/>
      </w:r>
      <w:r>
        <w:rPr>
          <w:lang w:val="fr-FR"/>
        </w:rPr>
        <w:instrText xml:space="preserve"> SEQ level0 \*arabic </w:instrText>
      </w:r>
      <w:r>
        <w:rPr>
          <w:lang w:val="fr-FR"/>
        </w:rPr>
        <w:fldChar w:fldCharType="separate"/>
      </w:r>
      <w:r w:rsidR="0096090F">
        <w:rPr>
          <w:noProof/>
          <w:lang w:val="fr-FR"/>
        </w:rPr>
        <w:t>15</w:t>
      </w:r>
      <w:r>
        <w:rPr>
          <w:lang w:val="fr-FR"/>
        </w:rPr>
        <w:fldChar w:fldCharType="end"/>
      </w:r>
      <w:r>
        <w:rPr>
          <w:lang w:val="fr-FR"/>
        </w:rPr>
        <w:t>.  </w:t>
      </w:r>
      <w:r w:rsidR="00687120">
        <w:rPr>
          <w:lang w:val="fr-FR"/>
        </w:rPr>
        <w:t>En octobre 2010, le tribunal ordonna une expertise afin d</w:t>
      </w:r>
      <w:r w:rsidR="00E91700">
        <w:rPr>
          <w:lang w:val="fr-FR"/>
        </w:rPr>
        <w:t>’</w:t>
      </w:r>
      <w:r w:rsidR="00687120">
        <w:rPr>
          <w:lang w:val="fr-FR"/>
        </w:rPr>
        <w:t>évaluer la capacité de la requérante et du père des enfants à exercer le rôle de parents. Le 13 janvier 2011, l</w:t>
      </w:r>
      <w:r w:rsidR="00E91700">
        <w:rPr>
          <w:lang w:val="fr-FR"/>
        </w:rPr>
        <w:t>’</w:t>
      </w:r>
      <w:r w:rsidR="00687120">
        <w:rPr>
          <w:lang w:val="fr-FR"/>
        </w:rPr>
        <w:t>expert déposa son rapport</w:t>
      </w:r>
      <w:r w:rsidR="00CF7167">
        <w:rPr>
          <w:lang w:val="fr-FR"/>
        </w:rPr>
        <w:t xml:space="preserve">, dont </w:t>
      </w:r>
      <w:r w:rsidR="0080060A">
        <w:rPr>
          <w:lang w:val="fr-FR"/>
        </w:rPr>
        <w:t xml:space="preserve">il </w:t>
      </w:r>
      <w:r w:rsidR="00687120">
        <w:rPr>
          <w:lang w:val="fr-FR"/>
        </w:rPr>
        <w:t>ressort</w:t>
      </w:r>
      <w:r w:rsidR="00CF7167">
        <w:rPr>
          <w:lang w:val="fr-FR"/>
        </w:rPr>
        <w:t>ait</w:t>
      </w:r>
      <w:r w:rsidR="00A5628A">
        <w:rPr>
          <w:lang w:val="fr-FR"/>
        </w:rPr>
        <w:t> </w:t>
      </w:r>
      <w:r w:rsidR="00CF7167">
        <w:rPr>
          <w:lang w:val="fr-FR"/>
        </w:rPr>
        <w:t>:</w:t>
      </w:r>
    </w:p>
    <w:p w:rsidR="00C31CD3" w:rsidRDefault="00BC17F4" w:rsidP="00CF7167">
      <w:pPr>
        <w:pStyle w:val="ECHRPara"/>
        <w:rPr>
          <w:lang w:val="fr-FR"/>
        </w:rPr>
      </w:pPr>
      <w:r>
        <w:rPr>
          <w:lang w:val="fr-FR"/>
        </w:rPr>
        <w:t>-  </w:t>
      </w:r>
      <w:r w:rsidR="00687120">
        <w:rPr>
          <w:lang w:val="fr-FR"/>
        </w:rPr>
        <w:t>que le père ne présentait aucune pathologie psychiatrique, qu</w:t>
      </w:r>
      <w:r w:rsidR="00E91700">
        <w:rPr>
          <w:lang w:val="fr-FR"/>
        </w:rPr>
        <w:t>’</w:t>
      </w:r>
      <w:r w:rsidR="00687120">
        <w:rPr>
          <w:lang w:val="fr-FR"/>
        </w:rPr>
        <w:t>il avait une personnalité fragile</w:t>
      </w:r>
      <w:r w:rsidR="0080060A">
        <w:rPr>
          <w:lang w:val="fr-FR"/>
        </w:rPr>
        <w:t>,</w:t>
      </w:r>
      <w:r w:rsidR="00687120">
        <w:rPr>
          <w:lang w:val="fr-FR"/>
        </w:rPr>
        <w:t xml:space="preserve"> mais qu</w:t>
      </w:r>
      <w:r w:rsidR="00E91700">
        <w:rPr>
          <w:lang w:val="fr-FR"/>
        </w:rPr>
        <w:t>’</w:t>
      </w:r>
      <w:r w:rsidR="00687120">
        <w:rPr>
          <w:lang w:val="fr-FR"/>
        </w:rPr>
        <w:t>il était capable de prendre ses propres responsabilités</w:t>
      </w:r>
      <w:r w:rsidR="00CF7167">
        <w:rPr>
          <w:lang w:val="fr-FR"/>
        </w:rPr>
        <w:t> ;</w:t>
      </w:r>
    </w:p>
    <w:p w:rsidR="0080060A" w:rsidRDefault="00A25EF5" w:rsidP="00CF7167">
      <w:pPr>
        <w:pStyle w:val="ECHRPara"/>
        <w:rPr>
          <w:lang w:val="fr-FR"/>
        </w:rPr>
      </w:pPr>
      <w:r>
        <w:rPr>
          <w:lang w:val="fr-FR"/>
        </w:rPr>
        <w:t>-</w:t>
      </w:r>
      <w:r w:rsidR="00BC17F4">
        <w:rPr>
          <w:lang w:val="fr-FR"/>
        </w:rPr>
        <w:t>  </w:t>
      </w:r>
      <w:r w:rsidR="00687120">
        <w:rPr>
          <w:lang w:val="fr-FR"/>
        </w:rPr>
        <w:t xml:space="preserve">que la requérante était atteinte </w:t>
      </w:r>
      <w:r w:rsidR="0080060A">
        <w:rPr>
          <w:lang w:val="fr-FR"/>
        </w:rPr>
        <w:t xml:space="preserve">de </w:t>
      </w:r>
      <w:r w:rsidR="00687120">
        <w:rPr>
          <w:lang w:val="fr-FR"/>
        </w:rPr>
        <w:t>« trouble de la personnalité borderline interféra</w:t>
      </w:r>
      <w:r w:rsidR="0080060A">
        <w:rPr>
          <w:lang w:val="fr-FR"/>
        </w:rPr>
        <w:t>nt</w:t>
      </w:r>
      <w:r w:rsidR="00687120">
        <w:rPr>
          <w:lang w:val="fr-FR"/>
        </w:rPr>
        <w:t>, de manière limitée, avec sa capacité de prendre des responsabilités liées à son rôle de mère »</w:t>
      </w:r>
      <w:r w:rsidR="0080060A">
        <w:rPr>
          <w:lang w:val="fr-FR"/>
        </w:rPr>
        <w:t> ;</w:t>
      </w:r>
    </w:p>
    <w:p w:rsidR="0080060A" w:rsidRDefault="00A25EF5" w:rsidP="00CF1F29">
      <w:pPr>
        <w:pStyle w:val="ECHRPara"/>
        <w:rPr>
          <w:lang w:val="fr-FR"/>
        </w:rPr>
      </w:pPr>
      <w:r>
        <w:rPr>
          <w:lang w:val="fr-FR"/>
        </w:rPr>
        <w:t>-</w:t>
      </w:r>
      <w:r w:rsidR="00BC17F4">
        <w:rPr>
          <w:lang w:val="fr-FR"/>
        </w:rPr>
        <w:t>  </w:t>
      </w:r>
      <w:r w:rsidR="0080060A">
        <w:rPr>
          <w:lang w:val="fr-FR"/>
        </w:rPr>
        <w:t xml:space="preserve">que les enfants </w:t>
      </w:r>
      <w:r w:rsidR="00687120">
        <w:rPr>
          <w:lang w:val="fr-FR"/>
        </w:rPr>
        <w:t>étaient hyperactifs</w:t>
      </w:r>
      <w:r w:rsidR="0080060A">
        <w:rPr>
          <w:lang w:val="fr-FR"/>
        </w:rPr>
        <w:t>,</w:t>
      </w:r>
      <w:r w:rsidR="00687120">
        <w:rPr>
          <w:lang w:val="fr-FR"/>
        </w:rPr>
        <w:t xml:space="preserve"> et qu</w:t>
      </w:r>
      <w:r w:rsidR="00E91700">
        <w:rPr>
          <w:lang w:val="fr-FR"/>
        </w:rPr>
        <w:t>’</w:t>
      </w:r>
      <w:r w:rsidR="00687120">
        <w:rPr>
          <w:lang w:val="fr-FR"/>
        </w:rPr>
        <w:t>une partie important</w:t>
      </w:r>
      <w:r w:rsidR="00CD4DB6">
        <w:rPr>
          <w:lang w:val="fr-FR"/>
        </w:rPr>
        <w:t>e</w:t>
      </w:r>
      <w:r w:rsidR="00687120">
        <w:rPr>
          <w:lang w:val="fr-FR"/>
        </w:rPr>
        <w:t xml:space="preserve"> de </w:t>
      </w:r>
      <w:r w:rsidR="0080060A">
        <w:rPr>
          <w:lang w:val="fr-FR"/>
        </w:rPr>
        <w:t xml:space="preserve">cette </w:t>
      </w:r>
      <w:r w:rsidR="00687120">
        <w:rPr>
          <w:lang w:val="fr-FR"/>
        </w:rPr>
        <w:t>symptomatologie pouvait être l</w:t>
      </w:r>
      <w:r w:rsidR="00E91700">
        <w:rPr>
          <w:lang w:val="fr-FR"/>
        </w:rPr>
        <w:t>’</w:t>
      </w:r>
      <w:r w:rsidR="00687120">
        <w:rPr>
          <w:lang w:val="fr-FR"/>
        </w:rPr>
        <w:t>expressi</w:t>
      </w:r>
      <w:r w:rsidR="00A5628A">
        <w:rPr>
          <w:lang w:val="fr-FR"/>
        </w:rPr>
        <w:t>on des difficultés familiales.</w:t>
      </w:r>
    </w:p>
    <w:p w:rsidR="00687120" w:rsidRDefault="00687120" w:rsidP="00CF1F29">
      <w:pPr>
        <w:pStyle w:val="ECHRPara"/>
        <w:rPr>
          <w:lang w:val="fr-FR"/>
        </w:rPr>
      </w:pPr>
      <w:r>
        <w:rPr>
          <w:lang w:val="fr-FR"/>
        </w:rPr>
        <w:t>Dans ses conclusions, l</w:t>
      </w:r>
      <w:r w:rsidR="00E91700">
        <w:rPr>
          <w:lang w:val="fr-FR"/>
        </w:rPr>
        <w:t>’</w:t>
      </w:r>
      <w:r>
        <w:rPr>
          <w:lang w:val="fr-FR"/>
        </w:rPr>
        <w:t xml:space="preserve">expert observa que les deux parents étaient </w:t>
      </w:r>
      <w:r w:rsidR="00601DF7">
        <w:rPr>
          <w:lang w:val="fr-FR"/>
        </w:rPr>
        <w:t>disposé</w:t>
      </w:r>
      <w:r>
        <w:rPr>
          <w:lang w:val="fr-FR"/>
        </w:rPr>
        <w:t>s à accepter les interventions nécessaires afin d</w:t>
      </w:r>
      <w:r w:rsidR="00E91700">
        <w:rPr>
          <w:lang w:val="fr-FR"/>
        </w:rPr>
        <w:t>’</w:t>
      </w:r>
      <w:r>
        <w:rPr>
          <w:lang w:val="fr-FR"/>
        </w:rPr>
        <w:t>améliorer leur rapport avec les enfants</w:t>
      </w:r>
      <w:r w:rsidR="00CF1F29">
        <w:rPr>
          <w:lang w:val="fr-FR"/>
        </w:rPr>
        <w:t xml:space="preserve"> et il formula les </w:t>
      </w:r>
      <w:r w:rsidR="0080060A">
        <w:rPr>
          <w:lang w:val="fr-FR"/>
        </w:rPr>
        <w:t>propositions suivantes</w:t>
      </w:r>
      <w:r w:rsidR="005D0E24">
        <w:rPr>
          <w:lang w:val="fr-FR"/>
        </w:rPr>
        <w:t xml:space="preserve"> </w:t>
      </w:r>
      <w:r w:rsidR="0080060A">
        <w:rPr>
          <w:lang w:val="fr-FR"/>
        </w:rPr>
        <w:t xml:space="preserve">: </w:t>
      </w:r>
      <w:r>
        <w:rPr>
          <w:lang w:val="fr-FR"/>
        </w:rPr>
        <w:t>le maintien du placement des enfants dans l</w:t>
      </w:r>
      <w:r w:rsidR="00E91700">
        <w:rPr>
          <w:lang w:val="fr-FR"/>
        </w:rPr>
        <w:t>’</w:t>
      </w:r>
      <w:r>
        <w:rPr>
          <w:lang w:val="fr-FR"/>
        </w:rPr>
        <w:t>institut</w:t>
      </w:r>
      <w:r w:rsidR="007353F8">
        <w:rPr>
          <w:lang w:val="fr-FR"/>
        </w:rPr>
        <w:t xml:space="preserve">, </w:t>
      </w:r>
      <w:r>
        <w:rPr>
          <w:lang w:val="fr-FR"/>
        </w:rPr>
        <w:t>la mise en place d</w:t>
      </w:r>
      <w:r w:rsidR="00E91700">
        <w:rPr>
          <w:lang w:val="fr-FR"/>
        </w:rPr>
        <w:t>’</w:t>
      </w:r>
      <w:r>
        <w:rPr>
          <w:lang w:val="fr-FR"/>
        </w:rPr>
        <w:t>un parcours de rapprochement entre les parents et les enfants</w:t>
      </w:r>
      <w:r w:rsidR="007353F8">
        <w:rPr>
          <w:lang w:val="fr-FR"/>
        </w:rPr>
        <w:t xml:space="preserve"> </w:t>
      </w:r>
      <w:r>
        <w:rPr>
          <w:lang w:val="fr-FR"/>
        </w:rPr>
        <w:t>et l</w:t>
      </w:r>
      <w:r w:rsidR="00E91700">
        <w:rPr>
          <w:lang w:val="fr-FR"/>
        </w:rPr>
        <w:t>’</w:t>
      </w:r>
      <w:r>
        <w:rPr>
          <w:lang w:val="fr-FR"/>
        </w:rPr>
        <w:t>intensification des rencontres</w:t>
      </w:r>
      <w:r w:rsidR="007353F8">
        <w:rPr>
          <w:lang w:val="fr-FR"/>
        </w:rPr>
        <w:t xml:space="preserve">. </w:t>
      </w:r>
      <w:r w:rsidR="00CF1F29">
        <w:rPr>
          <w:lang w:val="fr-FR"/>
        </w:rPr>
        <w:t>Il proposa également une nouvelle évaluation de la situation familiale après six mois.</w:t>
      </w:r>
    </w:p>
    <w:p w:rsidR="002B4636" w:rsidRDefault="00C1638D" w:rsidP="00687120">
      <w:pPr>
        <w:pStyle w:val="ECHRPara"/>
        <w:rPr>
          <w:lang w:val="fr-FR"/>
        </w:rPr>
      </w:pPr>
      <w:r>
        <w:rPr>
          <w:lang w:val="fr-FR"/>
        </w:rPr>
        <w:fldChar w:fldCharType="begin"/>
      </w:r>
      <w:r>
        <w:rPr>
          <w:lang w:val="fr-FR"/>
        </w:rPr>
        <w:instrText xml:space="preserve"> SEQ level0 \*arabic </w:instrText>
      </w:r>
      <w:r>
        <w:rPr>
          <w:lang w:val="fr-FR"/>
        </w:rPr>
        <w:fldChar w:fldCharType="separate"/>
      </w:r>
      <w:r w:rsidR="0096090F">
        <w:rPr>
          <w:noProof/>
          <w:lang w:val="fr-FR"/>
        </w:rPr>
        <w:t>16</w:t>
      </w:r>
      <w:r>
        <w:rPr>
          <w:lang w:val="fr-FR"/>
        </w:rPr>
        <w:fldChar w:fldCharType="end"/>
      </w:r>
      <w:r>
        <w:rPr>
          <w:lang w:val="fr-FR"/>
        </w:rPr>
        <w:t>.  </w:t>
      </w:r>
      <w:r w:rsidR="00687120">
        <w:rPr>
          <w:lang w:val="fr-FR"/>
        </w:rPr>
        <w:t>Par une décision du 1</w:t>
      </w:r>
      <w:r w:rsidR="00687120" w:rsidRPr="007563C7">
        <w:rPr>
          <w:vertAlign w:val="superscript"/>
          <w:lang w:val="fr-FR"/>
        </w:rPr>
        <w:t>er</w:t>
      </w:r>
      <w:r w:rsidR="00687120">
        <w:rPr>
          <w:lang w:val="fr-FR"/>
        </w:rPr>
        <w:t xml:space="preserve"> mars 2011, </w:t>
      </w:r>
      <w:r w:rsidR="00DB7227">
        <w:rPr>
          <w:lang w:val="fr-FR"/>
        </w:rPr>
        <w:t xml:space="preserve">toutefois, </w:t>
      </w:r>
      <w:r w:rsidR="00687120">
        <w:rPr>
          <w:lang w:val="fr-FR"/>
        </w:rPr>
        <w:t xml:space="preserve">le tribunal déclara les enfants adoptables et les rencontres </w:t>
      </w:r>
      <w:r w:rsidR="00DE4D1E">
        <w:rPr>
          <w:lang w:val="fr-FR"/>
        </w:rPr>
        <w:t xml:space="preserve">entre les </w:t>
      </w:r>
      <w:r w:rsidR="00687120">
        <w:rPr>
          <w:lang w:val="fr-FR"/>
        </w:rPr>
        <w:t xml:space="preserve">parents </w:t>
      </w:r>
      <w:r w:rsidR="00DE4D1E">
        <w:rPr>
          <w:lang w:val="fr-FR"/>
        </w:rPr>
        <w:t xml:space="preserve">et les </w:t>
      </w:r>
      <w:r w:rsidR="00687120">
        <w:rPr>
          <w:lang w:val="fr-FR"/>
        </w:rPr>
        <w:t>enfants furent interrompues.</w:t>
      </w:r>
    </w:p>
    <w:p w:rsidR="00687120" w:rsidRDefault="002B4636" w:rsidP="00687120">
      <w:pPr>
        <w:pStyle w:val="ECHRPara"/>
        <w:rPr>
          <w:lang w:val="fr-FR"/>
        </w:rPr>
      </w:pPr>
      <w:r>
        <w:rPr>
          <w:lang w:val="fr-FR"/>
        </w:rPr>
        <w:t xml:space="preserve">Dans ses motifs, le </w:t>
      </w:r>
      <w:r w:rsidR="00687120">
        <w:rPr>
          <w:lang w:val="fr-FR"/>
        </w:rPr>
        <w:t xml:space="preserve">tribunal </w:t>
      </w:r>
      <w:r>
        <w:rPr>
          <w:lang w:val="fr-FR"/>
        </w:rPr>
        <w:t xml:space="preserve">considéra </w:t>
      </w:r>
      <w:r w:rsidR="00687120">
        <w:rPr>
          <w:lang w:val="fr-FR"/>
        </w:rPr>
        <w:t>qu</w:t>
      </w:r>
      <w:r w:rsidR="00E91700">
        <w:rPr>
          <w:lang w:val="fr-FR"/>
        </w:rPr>
        <w:t>’</w:t>
      </w:r>
      <w:r w:rsidR="00687120">
        <w:rPr>
          <w:lang w:val="fr-FR"/>
        </w:rPr>
        <w:t>une nouvelle évaluation de la situation familiale n</w:t>
      </w:r>
      <w:r w:rsidR="00E91700">
        <w:rPr>
          <w:lang w:val="fr-FR"/>
        </w:rPr>
        <w:t>’</w:t>
      </w:r>
      <w:r w:rsidR="00687120">
        <w:rPr>
          <w:lang w:val="fr-FR"/>
        </w:rPr>
        <w:t>était pas nécessaire en l</w:t>
      </w:r>
      <w:r w:rsidR="00E91700">
        <w:rPr>
          <w:lang w:val="fr-FR"/>
        </w:rPr>
        <w:t>’</w:t>
      </w:r>
      <w:r w:rsidR="00687120">
        <w:rPr>
          <w:lang w:val="fr-FR"/>
        </w:rPr>
        <w:t>espèce. Il souligna les difficultés des parents à exercer leur rôle parental, telles qu</w:t>
      </w:r>
      <w:r w:rsidR="00E91700">
        <w:rPr>
          <w:lang w:val="fr-FR"/>
        </w:rPr>
        <w:t>’</w:t>
      </w:r>
      <w:r w:rsidR="00687120">
        <w:rPr>
          <w:lang w:val="fr-FR"/>
        </w:rPr>
        <w:t>indiquées par l</w:t>
      </w:r>
      <w:r w:rsidR="00E91700">
        <w:rPr>
          <w:lang w:val="fr-FR"/>
        </w:rPr>
        <w:t>’</w:t>
      </w:r>
      <w:r w:rsidR="00687120">
        <w:rPr>
          <w:lang w:val="fr-FR"/>
        </w:rPr>
        <w:t>expert, et se référa aux déclarations de la directrice de l</w:t>
      </w:r>
      <w:r w:rsidR="00E91700">
        <w:rPr>
          <w:lang w:val="fr-FR"/>
        </w:rPr>
        <w:t>’</w:t>
      </w:r>
      <w:r w:rsidR="00687120">
        <w:rPr>
          <w:lang w:val="fr-FR"/>
        </w:rPr>
        <w:t>institut, selon laquelle la requérante avait des « troubles menta</w:t>
      </w:r>
      <w:r w:rsidR="00CD4DB6">
        <w:rPr>
          <w:lang w:val="fr-FR"/>
        </w:rPr>
        <w:t>ux</w:t>
      </w:r>
      <w:r w:rsidR="00687120">
        <w:rPr>
          <w:lang w:val="fr-FR"/>
        </w:rPr>
        <w:t xml:space="preserve"> graves », le père « n</w:t>
      </w:r>
      <w:r w:rsidR="00E91700">
        <w:rPr>
          <w:lang w:val="fr-FR"/>
        </w:rPr>
        <w:t>’</w:t>
      </w:r>
      <w:r w:rsidR="00687120">
        <w:rPr>
          <w:lang w:val="fr-FR"/>
        </w:rPr>
        <w:t>était pas capable de démontrer son affection et se limitait à interagir avec les assistants sociaux de manière polémique » et les parents « n</w:t>
      </w:r>
      <w:r w:rsidR="00E91700">
        <w:rPr>
          <w:lang w:val="fr-FR"/>
        </w:rPr>
        <w:t>’</w:t>
      </w:r>
      <w:r w:rsidR="00687120">
        <w:rPr>
          <w:lang w:val="fr-FR"/>
        </w:rPr>
        <w:t>étaient pas capables de donner aux enfants les attentions et les thérapies dont ils avaient besoin ». Compte tenu de ces éléments, le tribunal décl</w:t>
      </w:r>
      <w:r w:rsidR="00A5628A">
        <w:rPr>
          <w:lang w:val="fr-FR"/>
        </w:rPr>
        <w:t>ara l</w:t>
      </w:r>
      <w:r w:rsidR="00E91700">
        <w:rPr>
          <w:lang w:val="fr-FR"/>
        </w:rPr>
        <w:t>’</w:t>
      </w:r>
      <w:r w:rsidR="00A5628A">
        <w:rPr>
          <w:lang w:val="fr-FR"/>
        </w:rPr>
        <w:t>adoptabilité des enfants.</w:t>
      </w:r>
    </w:p>
    <w:p w:rsidR="00C72269" w:rsidRDefault="00C1638D" w:rsidP="00687120">
      <w:pPr>
        <w:pStyle w:val="ECHRPara"/>
        <w:rPr>
          <w:lang w:val="fr-FR"/>
        </w:rPr>
      </w:pPr>
      <w:r>
        <w:rPr>
          <w:lang w:val="fr-FR"/>
        </w:rPr>
        <w:fldChar w:fldCharType="begin"/>
      </w:r>
      <w:r>
        <w:rPr>
          <w:lang w:val="fr-FR"/>
        </w:rPr>
        <w:instrText xml:space="preserve"> SEQ level0 \*arabic </w:instrText>
      </w:r>
      <w:r>
        <w:rPr>
          <w:lang w:val="fr-FR"/>
        </w:rPr>
        <w:fldChar w:fldCharType="separate"/>
      </w:r>
      <w:r w:rsidR="0096090F">
        <w:rPr>
          <w:noProof/>
          <w:lang w:val="fr-FR"/>
        </w:rPr>
        <w:t>17</w:t>
      </w:r>
      <w:r>
        <w:rPr>
          <w:lang w:val="fr-FR"/>
        </w:rPr>
        <w:fldChar w:fldCharType="end"/>
      </w:r>
      <w:r>
        <w:rPr>
          <w:lang w:val="fr-FR"/>
        </w:rPr>
        <w:t>.  </w:t>
      </w:r>
      <w:r w:rsidR="00687120">
        <w:rPr>
          <w:lang w:val="fr-FR"/>
        </w:rPr>
        <w:t>La requérante et le père des enfants interjetèrent appel contre cette décision et demandèrent la suspension de l</w:t>
      </w:r>
      <w:r w:rsidR="00E91700">
        <w:rPr>
          <w:lang w:val="fr-FR"/>
        </w:rPr>
        <w:t>’</w:t>
      </w:r>
      <w:r w:rsidR="00687120">
        <w:rPr>
          <w:lang w:val="fr-FR"/>
        </w:rPr>
        <w:t>exécution de celle-ci</w:t>
      </w:r>
      <w:r w:rsidR="00C72269">
        <w:rPr>
          <w:lang w:val="fr-FR"/>
        </w:rPr>
        <w:t>. Ils soutenaient :</w:t>
      </w:r>
    </w:p>
    <w:p w:rsidR="00C72269" w:rsidRDefault="00C72269" w:rsidP="00687120">
      <w:pPr>
        <w:pStyle w:val="ECHRPara"/>
        <w:rPr>
          <w:lang w:val="fr-FR"/>
        </w:rPr>
      </w:pPr>
      <w:r>
        <w:rPr>
          <w:lang w:val="fr-FR"/>
        </w:rPr>
        <w:t>–</w:t>
      </w:r>
      <w:r w:rsidR="0074457F">
        <w:rPr>
          <w:lang w:val="fr-FR"/>
        </w:rPr>
        <w:t>  </w:t>
      </w:r>
      <w:r w:rsidR="00687120">
        <w:rPr>
          <w:lang w:val="fr-FR"/>
        </w:rPr>
        <w:t>que le tribunal avait erronément déclaré l</w:t>
      </w:r>
      <w:r w:rsidR="00E91700">
        <w:rPr>
          <w:lang w:val="fr-FR"/>
        </w:rPr>
        <w:t>’</w:t>
      </w:r>
      <w:r w:rsidR="00687120">
        <w:rPr>
          <w:lang w:val="fr-FR"/>
        </w:rPr>
        <w:t xml:space="preserve">adoptabilité </w:t>
      </w:r>
      <w:r w:rsidR="00600F74">
        <w:rPr>
          <w:lang w:val="fr-FR"/>
        </w:rPr>
        <w:t>en l</w:t>
      </w:r>
      <w:r w:rsidR="00E91700">
        <w:rPr>
          <w:lang w:val="fr-FR"/>
        </w:rPr>
        <w:t>’</w:t>
      </w:r>
      <w:r w:rsidR="00600F74">
        <w:rPr>
          <w:lang w:val="fr-FR"/>
        </w:rPr>
        <w:t>absence</w:t>
      </w:r>
      <w:r w:rsidR="00687120">
        <w:rPr>
          <w:lang w:val="fr-FR"/>
        </w:rPr>
        <w:t xml:space="preserve"> d</w:t>
      </w:r>
      <w:r w:rsidR="00E91700">
        <w:rPr>
          <w:lang w:val="fr-FR"/>
        </w:rPr>
        <w:t>’</w:t>
      </w:r>
      <w:r w:rsidR="00687120">
        <w:rPr>
          <w:lang w:val="fr-FR"/>
        </w:rPr>
        <w:t>une « situation d</w:t>
      </w:r>
      <w:r w:rsidR="00E91700">
        <w:rPr>
          <w:lang w:val="fr-FR"/>
        </w:rPr>
        <w:t>’</w:t>
      </w:r>
      <w:r w:rsidR="00687120">
        <w:rPr>
          <w:lang w:val="fr-FR"/>
        </w:rPr>
        <w:t>abandon »</w:t>
      </w:r>
      <w:r w:rsidR="00600F74">
        <w:rPr>
          <w:lang w:val="fr-FR"/>
        </w:rPr>
        <w:t>, condition né</w:t>
      </w:r>
      <w:r w:rsidR="00687120">
        <w:rPr>
          <w:lang w:val="fr-FR"/>
        </w:rPr>
        <w:t>cessaire aux termes de la loi n</w:t>
      </w:r>
      <w:r w:rsidR="001715D2" w:rsidRPr="001715D2">
        <w:rPr>
          <w:vertAlign w:val="superscript"/>
          <w:lang w:val="fr-FR"/>
        </w:rPr>
        <w:t>o</w:t>
      </w:r>
      <w:r w:rsidR="005D0E24">
        <w:rPr>
          <w:lang w:val="fr-FR"/>
        </w:rPr>
        <w:t> </w:t>
      </w:r>
      <w:r w:rsidR="00687120">
        <w:rPr>
          <w:lang w:val="fr-FR"/>
        </w:rPr>
        <w:t>184 de 1983 pour pouvoir déclarer l</w:t>
      </w:r>
      <w:r w:rsidR="00E91700">
        <w:rPr>
          <w:lang w:val="fr-FR"/>
        </w:rPr>
        <w:t>’</w:t>
      </w:r>
      <w:r w:rsidR="00687120">
        <w:rPr>
          <w:lang w:val="fr-FR"/>
        </w:rPr>
        <w:t>adoptabilité</w:t>
      </w:r>
      <w:r>
        <w:rPr>
          <w:lang w:val="fr-FR"/>
        </w:rPr>
        <w:t> ;</w:t>
      </w:r>
    </w:p>
    <w:p w:rsidR="00C72269" w:rsidRDefault="0074457F" w:rsidP="00687120">
      <w:pPr>
        <w:pStyle w:val="ECHRPara"/>
        <w:rPr>
          <w:lang w:val="fr-FR"/>
        </w:rPr>
      </w:pPr>
      <w:r>
        <w:rPr>
          <w:lang w:val="fr-FR"/>
        </w:rPr>
        <w:lastRenderedPageBreak/>
        <w:t>–  </w:t>
      </w:r>
      <w:r w:rsidR="00687120">
        <w:rPr>
          <w:lang w:val="fr-FR"/>
        </w:rPr>
        <w:t>que</w:t>
      </w:r>
      <w:r w:rsidR="00C72269">
        <w:rPr>
          <w:lang w:val="fr-FR"/>
        </w:rPr>
        <w:t xml:space="preserve"> </w:t>
      </w:r>
      <w:r w:rsidR="0075238D">
        <w:rPr>
          <w:lang w:val="fr-FR"/>
        </w:rPr>
        <w:t>la déclaration d</w:t>
      </w:r>
      <w:r w:rsidR="00E91700">
        <w:rPr>
          <w:lang w:val="fr-FR"/>
        </w:rPr>
        <w:t>’</w:t>
      </w:r>
      <w:r w:rsidR="00687120">
        <w:rPr>
          <w:lang w:val="fr-FR"/>
        </w:rPr>
        <w:t>adoptabilité</w:t>
      </w:r>
      <w:r w:rsidR="003545A0">
        <w:rPr>
          <w:lang w:val="fr-FR"/>
        </w:rPr>
        <w:t xml:space="preserve"> </w:t>
      </w:r>
      <w:r w:rsidR="004E197D">
        <w:rPr>
          <w:lang w:val="fr-FR"/>
        </w:rPr>
        <w:t>devait</w:t>
      </w:r>
      <w:r w:rsidR="003545A0">
        <w:rPr>
          <w:lang w:val="fr-FR"/>
        </w:rPr>
        <w:t xml:space="preserve"> seulement s</w:t>
      </w:r>
      <w:r w:rsidR="00E91700">
        <w:rPr>
          <w:lang w:val="fr-FR"/>
        </w:rPr>
        <w:t>’</w:t>
      </w:r>
      <w:r w:rsidR="003545A0">
        <w:rPr>
          <w:lang w:val="fr-FR"/>
        </w:rPr>
        <w:t xml:space="preserve">envisager comme </w:t>
      </w:r>
      <w:r w:rsidR="00687120" w:rsidRPr="004E197D">
        <w:rPr>
          <w:i/>
          <w:lang w:val="fr-FR"/>
        </w:rPr>
        <w:t>extrema ratio</w:t>
      </w:r>
      <w:r w:rsidR="00687120">
        <w:rPr>
          <w:lang w:val="fr-FR"/>
        </w:rPr>
        <w:t xml:space="preserve"> et </w:t>
      </w:r>
      <w:r w:rsidR="00C72269">
        <w:rPr>
          <w:lang w:val="fr-FR"/>
        </w:rPr>
        <w:t>qu</w:t>
      </w:r>
      <w:r w:rsidR="00E91700">
        <w:rPr>
          <w:lang w:val="fr-FR"/>
        </w:rPr>
        <w:t>’</w:t>
      </w:r>
      <w:r w:rsidR="00C72269">
        <w:rPr>
          <w:lang w:val="fr-FR"/>
        </w:rPr>
        <w:t>en l</w:t>
      </w:r>
      <w:r w:rsidR="00E91700">
        <w:rPr>
          <w:lang w:val="fr-FR"/>
        </w:rPr>
        <w:t>’</w:t>
      </w:r>
      <w:r w:rsidR="00C72269">
        <w:rPr>
          <w:lang w:val="fr-FR"/>
        </w:rPr>
        <w:t>espèce</w:t>
      </w:r>
      <w:r w:rsidR="00BC7867">
        <w:rPr>
          <w:lang w:val="fr-FR"/>
        </w:rPr>
        <w:t>,</w:t>
      </w:r>
      <w:r w:rsidR="00C72269">
        <w:rPr>
          <w:lang w:val="fr-FR"/>
        </w:rPr>
        <w:t xml:space="preserve"> </w:t>
      </w:r>
      <w:r w:rsidR="0075238D">
        <w:rPr>
          <w:lang w:val="fr-FR"/>
        </w:rPr>
        <w:t>cela</w:t>
      </w:r>
      <w:r w:rsidR="00C72269">
        <w:rPr>
          <w:lang w:val="fr-FR"/>
        </w:rPr>
        <w:t xml:space="preserve"> ne s</w:t>
      </w:r>
      <w:r w:rsidR="00E91700">
        <w:rPr>
          <w:lang w:val="fr-FR"/>
        </w:rPr>
        <w:t>’</w:t>
      </w:r>
      <w:r w:rsidR="00C72269">
        <w:rPr>
          <w:lang w:val="fr-FR"/>
        </w:rPr>
        <w:t xml:space="preserve">imposait pas </w:t>
      </w:r>
      <w:r w:rsidR="00687120">
        <w:rPr>
          <w:lang w:val="fr-FR"/>
        </w:rPr>
        <w:t>puisque leurs difficultés familiales, liées notamment à la maladie de la</w:t>
      </w:r>
      <w:r w:rsidR="0075238D">
        <w:rPr>
          <w:lang w:val="fr-FR"/>
        </w:rPr>
        <w:t xml:space="preserve"> requérante</w:t>
      </w:r>
      <w:r w:rsidR="00687120">
        <w:rPr>
          <w:lang w:val="fr-FR"/>
        </w:rPr>
        <w:t>, avaient un caractère transitoire et pouvaient être surmontées avec le soutien des assistants sociaux</w:t>
      </w:r>
      <w:r w:rsidR="00BC7867">
        <w:rPr>
          <w:lang w:val="fr-FR"/>
        </w:rPr>
        <w:t>.</w:t>
      </w:r>
    </w:p>
    <w:p w:rsidR="00687120" w:rsidRDefault="0075238D" w:rsidP="00687120">
      <w:pPr>
        <w:pStyle w:val="ECHRPara"/>
        <w:rPr>
          <w:lang w:val="fr-FR"/>
        </w:rPr>
      </w:pPr>
      <w:r>
        <w:rPr>
          <w:lang w:val="fr-FR"/>
        </w:rPr>
        <w:t>Ils soulignèrent enfin</w:t>
      </w:r>
      <w:r w:rsidR="00687120">
        <w:rPr>
          <w:lang w:val="fr-FR"/>
        </w:rPr>
        <w:t xml:space="preserve"> que le tribunal n</w:t>
      </w:r>
      <w:r w:rsidR="00E91700">
        <w:rPr>
          <w:lang w:val="fr-FR"/>
        </w:rPr>
        <w:t>’</w:t>
      </w:r>
      <w:r w:rsidR="00687120">
        <w:rPr>
          <w:lang w:val="fr-FR"/>
        </w:rPr>
        <w:t>avait pas pris en compte l</w:t>
      </w:r>
      <w:r w:rsidR="00E91700">
        <w:rPr>
          <w:lang w:val="fr-FR"/>
        </w:rPr>
        <w:t>’</w:t>
      </w:r>
      <w:r w:rsidR="00687120">
        <w:rPr>
          <w:lang w:val="fr-FR"/>
        </w:rPr>
        <w:t>expertise de janvier 2011 ordonnant la mise en place d</w:t>
      </w:r>
      <w:r w:rsidR="00E91700">
        <w:rPr>
          <w:lang w:val="fr-FR"/>
        </w:rPr>
        <w:t>’</w:t>
      </w:r>
      <w:r w:rsidR="00687120">
        <w:rPr>
          <w:lang w:val="fr-FR"/>
        </w:rPr>
        <w:t>un parcours de soutien et le rapprochement d</w:t>
      </w:r>
      <w:r w:rsidR="00A5628A">
        <w:rPr>
          <w:lang w:val="fr-FR"/>
        </w:rPr>
        <w:t>es enfants avec leurs parents.</w:t>
      </w:r>
    </w:p>
    <w:p w:rsidR="00C31CD3" w:rsidRDefault="00C1638D" w:rsidP="00687120">
      <w:pPr>
        <w:pStyle w:val="ECHRPara"/>
        <w:rPr>
          <w:lang w:val="fr-FR"/>
        </w:rPr>
      </w:pPr>
      <w:r>
        <w:rPr>
          <w:lang w:val="fr-FR"/>
        </w:rPr>
        <w:fldChar w:fldCharType="begin"/>
      </w:r>
      <w:r>
        <w:rPr>
          <w:lang w:val="fr-FR"/>
        </w:rPr>
        <w:instrText xml:space="preserve"> SEQ level0 \*arabic </w:instrText>
      </w:r>
      <w:r>
        <w:rPr>
          <w:lang w:val="fr-FR"/>
        </w:rPr>
        <w:fldChar w:fldCharType="separate"/>
      </w:r>
      <w:r w:rsidR="0096090F">
        <w:rPr>
          <w:noProof/>
          <w:lang w:val="fr-FR"/>
        </w:rPr>
        <w:t>18</w:t>
      </w:r>
      <w:r>
        <w:rPr>
          <w:lang w:val="fr-FR"/>
        </w:rPr>
        <w:fldChar w:fldCharType="end"/>
      </w:r>
      <w:r>
        <w:rPr>
          <w:lang w:val="fr-FR"/>
        </w:rPr>
        <w:t>.  </w:t>
      </w:r>
      <w:r w:rsidR="00687120">
        <w:rPr>
          <w:lang w:val="fr-FR"/>
        </w:rPr>
        <w:t>En juillet 2011, le tribunal ordonna le placement de chacun des enfants dans une famille d</w:t>
      </w:r>
      <w:r w:rsidR="00E91700">
        <w:rPr>
          <w:lang w:val="fr-FR"/>
        </w:rPr>
        <w:t>’</w:t>
      </w:r>
      <w:r w:rsidR="00687120">
        <w:rPr>
          <w:lang w:val="fr-FR"/>
        </w:rPr>
        <w:t>accueil différente.</w:t>
      </w:r>
    </w:p>
    <w:p w:rsidR="001979A0" w:rsidRDefault="00C1638D" w:rsidP="00687120">
      <w:pPr>
        <w:pStyle w:val="ECHRPara"/>
        <w:rPr>
          <w:lang w:val="fr-FR"/>
        </w:rPr>
      </w:pPr>
      <w:r>
        <w:rPr>
          <w:lang w:val="fr-FR"/>
        </w:rPr>
        <w:fldChar w:fldCharType="begin"/>
      </w:r>
      <w:r>
        <w:rPr>
          <w:lang w:val="fr-FR"/>
        </w:rPr>
        <w:instrText xml:space="preserve"> SEQ level0 \*arabic </w:instrText>
      </w:r>
      <w:r>
        <w:rPr>
          <w:lang w:val="fr-FR"/>
        </w:rPr>
        <w:fldChar w:fldCharType="separate"/>
      </w:r>
      <w:r w:rsidR="0096090F">
        <w:rPr>
          <w:noProof/>
          <w:lang w:val="fr-FR"/>
        </w:rPr>
        <w:t>19</w:t>
      </w:r>
      <w:r>
        <w:rPr>
          <w:lang w:val="fr-FR"/>
        </w:rPr>
        <w:fldChar w:fldCharType="end"/>
      </w:r>
      <w:r>
        <w:rPr>
          <w:lang w:val="fr-FR"/>
        </w:rPr>
        <w:t>.  </w:t>
      </w:r>
      <w:r w:rsidR="00687120">
        <w:rPr>
          <w:lang w:val="fr-FR"/>
        </w:rPr>
        <w:t>Par une décision du 7 février 2012, la cour d</w:t>
      </w:r>
      <w:r w:rsidR="00E91700">
        <w:rPr>
          <w:lang w:val="fr-FR"/>
        </w:rPr>
        <w:t>’</w:t>
      </w:r>
      <w:r w:rsidR="00687120">
        <w:rPr>
          <w:lang w:val="fr-FR"/>
        </w:rPr>
        <w:t>appel de Rome rejeta l</w:t>
      </w:r>
      <w:r w:rsidR="00E91700">
        <w:rPr>
          <w:lang w:val="fr-FR"/>
        </w:rPr>
        <w:t>’</w:t>
      </w:r>
      <w:r w:rsidR="00687120">
        <w:rPr>
          <w:lang w:val="fr-FR"/>
        </w:rPr>
        <w:t>appel de la requérante et confirma l</w:t>
      </w:r>
      <w:r w:rsidR="00E91700">
        <w:rPr>
          <w:lang w:val="fr-FR"/>
        </w:rPr>
        <w:t>’</w:t>
      </w:r>
      <w:r w:rsidR="00687120">
        <w:rPr>
          <w:lang w:val="fr-FR"/>
        </w:rPr>
        <w:t>adoptabilité.</w:t>
      </w:r>
    </w:p>
    <w:p w:rsidR="00C31CD3" w:rsidRDefault="0014493A" w:rsidP="00687120">
      <w:pPr>
        <w:pStyle w:val="ECHRPara"/>
        <w:rPr>
          <w:lang w:val="fr-FR"/>
        </w:rPr>
      </w:pPr>
      <w:r>
        <w:rPr>
          <w:lang w:val="fr-FR"/>
        </w:rPr>
        <w:t>La</w:t>
      </w:r>
      <w:r w:rsidR="00687120">
        <w:rPr>
          <w:lang w:val="fr-FR"/>
        </w:rPr>
        <w:t xml:space="preserve"> cour d</w:t>
      </w:r>
      <w:r w:rsidR="00E91700">
        <w:rPr>
          <w:lang w:val="fr-FR"/>
        </w:rPr>
        <w:t>’</w:t>
      </w:r>
      <w:r w:rsidR="00687120">
        <w:rPr>
          <w:lang w:val="fr-FR"/>
        </w:rPr>
        <w:t>appel observa que les autorités compétentes avaient déployé les efforts nécessaires afin de garantir un soutien aux parents et préparer le retour des enfants dans leur famille. Toutefois</w:t>
      </w:r>
      <w:r w:rsidR="00915B92">
        <w:rPr>
          <w:lang w:val="fr-FR"/>
        </w:rPr>
        <w:t>,</w:t>
      </w:r>
      <w:r w:rsidR="00687120">
        <w:rPr>
          <w:lang w:val="fr-FR"/>
        </w:rPr>
        <w:t xml:space="preserve"> le projet n</w:t>
      </w:r>
      <w:r w:rsidR="00E91700">
        <w:rPr>
          <w:lang w:val="fr-FR"/>
        </w:rPr>
        <w:t>’</w:t>
      </w:r>
      <w:r w:rsidR="00687120">
        <w:rPr>
          <w:lang w:val="fr-FR"/>
        </w:rPr>
        <w:t>avait pas abouti</w:t>
      </w:r>
      <w:r w:rsidR="001E3929">
        <w:rPr>
          <w:lang w:val="fr-FR"/>
        </w:rPr>
        <w:t>, ce qui</w:t>
      </w:r>
      <w:r w:rsidR="00687120">
        <w:rPr>
          <w:lang w:val="fr-FR"/>
        </w:rPr>
        <w:t xml:space="preserve"> démontrait </w:t>
      </w:r>
      <w:r w:rsidR="001979A0">
        <w:rPr>
          <w:lang w:val="fr-FR"/>
        </w:rPr>
        <w:t>l</w:t>
      </w:r>
      <w:r w:rsidR="00E91700">
        <w:rPr>
          <w:lang w:val="fr-FR"/>
        </w:rPr>
        <w:t>’</w:t>
      </w:r>
      <w:r w:rsidR="001979A0">
        <w:rPr>
          <w:lang w:val="fr-FR"/>
        </w:rPr>
        <w:t xml:space="preserve">incapacité des </w:t>
      </w:r>
      <w:r w:rsidR="00B34432">
        <w:rPr>
          <w:lang w:val="fr-FR"/>
        </w:rPr>
        <w:t>parents</w:t>
      </w:r>
      <w:r w:rsidR="001979A0">
        <w:rPr>
          <w:lang w:val="fr-FR"/>
        </w:rPr>
        <w:t xml:space="preserve"> à exercer </w:t>
      </w:r>
      <w:r w:rsidR="00687120">
        <w:rPr>
          <w:lang w:val="fr-FR"/>
        </w:rPr>
        <w:t>le</w:t>
      </w:r>
      <w:r w:rsidR="001979A0">
        <w:rPr>
          <w:lang w:val="fr-FR"/>
        </w:rPr>
        <w:t>ur</w:t>
      </w:r>
      <w:r w:rsidR="00687120">
        <w:rPr>
          <w:lang w:val="fr-FR"/>
        </w:rPr>
        <w:t xml:space="preserve"> rôle </w:t>
      </w:r>
      <w:r w:rsidR="00E07AF1">
        <w:rPr>
          <w:lang w:val="fr-FR"/>
        </w:rPr>
        <w:t xml:space="preserve">parental </w:t>
      </w:r>
      <w:r w:rsidR="00687120">
        <w:rPr>
          <w:lang w:val="fr-FR"/>
        </w:rPr>
        <w:t xml:space="preserve">ainsi que le manque de caractère transitoire de </w:t>
      </w:r>
      <w:r w:rsidR="001E3929">
        <w:rPr>
          <w:lang w:val="fr-FR"/>
        </w:rPr>
        <w:t>la situation</w:t>
      </w:r>
      <w:r w:rsidR="00687120">
        <w:rPr>
          <w:lang w:val="fr-FR"/>
        </w:rPr>
        <w:t>. S</w:t>
      </w:r>
      <w:r w:rsidR="00E91700">
        <w:rPr>
          <w:lang w:val="fr-FR"/>
        </w:rPr>
        <w:t>’</w:t>
      </w:r>
      <w:r w:rsidR="00687120">
        <w:rPr>
          <w:lang w:val="fr-FR"/>
        </w:rPr>
        <w:t>appuyant sur les conclusions des services sociaux, la cour d</w:t>
      </w:r>
      <w:r w:rsidR="00E91700">
        <w:rPr>
          <w:lang w:val="fr-FR"/>
        </w:rPr>
        <w:t>’</w:t>
      </w:r>
      <w:r w:rsidR="00687120">
        <w:rPr>
          <w:lang w:val="fr-FR"/>
        </w:rPr>
        <w:t>appel souligna que la faillite du projet avait eu des conséquences négatives pour les enfants et que l</w:t>
      </w:r>
      <w:r w:rsidR="00E91700">
        <w:rPr>
          <w:lang w:val="fr-FR"/>
        </w:rPr>
        <w:t>’</w:t>
      </w:r>
      <w:r w:rsidR="00687120">
        <w:rPr>
          <w:lang w:val="fr-FR"/>
        </w:rPr>
        <w:t>adoptabilité visait à sauvegarder leur intérêt à être accueilli</w:t>
      </w:r>
      <w:r w:rsidR="00C1638D">
        <w:rPr>
          <w:lang w:val="fr-FR"/>
        </w:rPr>
        <w:t>s</w:t>
      </w:r>
      <w:r w:rsidR="00687120">
        <w:rPr>
          <w:lang w:val="fr-FR"/>
        </w:rPr>
        <w:t xml:space="preserve"> dans une famille capable de prendre soin d</w:t>
      </w:r>
      <w:r w:rsidR="00E91700">
        <w:rPr>
          <w:lang w:val="fr-FR"/>
        </w:rPr>
        <w:t>’</w:t>
      </w:r>
      <w:r w:rsidR="00687120">
        <w:rPr>
          <w:lang w:val="fr-FR"/>
        </w:rPr>
        <w:t xml:space="preserve">eux de manière adéquate, ce que leur famille </w:t>
      </w:r>
      <w:r w:rsidR="00687120" w:rsidRPr="001E3929">
        <w:rPr>
          <w:lang w:val="fr-FR"/>
        </w:rPr>
        <w:t>d</w:t>
      </w:r>
      <w:r w:rsidR="00E91700">
        <w:rPr>
          <w:lang w:val="fr-FR"/>
        </w:rPr>
        <w:t>’</w:t>
      </w:r>
      <w:r w:rsidR="00687120" w:rsidRPr="001E3929">
        <w:rPr>
          <w:lang w:val="fr-FR"/>
        </w:rPr>
        <w:t xml:space="preserve">origine </w:t>
      </w:r>
      <w:r w:rsidR="001E3929">
        <w:rPr>
          <w:lang w:val="fr-FR"/>
        </w:rPr>
        <w:t>n</w:t>
      </w:r>
      <w:r w:rsidR="00E91700">
        <w:rPr>
          <w:lang w:val="fr-FR"/>
        </w:rPr>
        <w:t>’</w:t>
      </w:r>
      <w:r w:rsidR="001E3929">
        <w:rPr>
          <w:lang w:val="fr-FR"/>
        </w:rPr>
        <w:t>était pas en mesure</w:t>
      </w:r>
      <w:r w:rsidR="00687120" w:rsidRPr="001E3929">
        <w:rPr>
          <w:lang w:val="fr-FR"/>
        </w:rPr>
        <w:t xml:space="preserve"> de faire en raison </w:t>
      </w:r>
      <w:r w:rsidR="001E3929">
        <w:rPr>
          <w:lang w:val="fr-FR"/>
        </w:rPr>
        <w:t>de l</w:t>
      </w:r>
      <w:r w:rsidR="00E91700">
        <w:rPr>
          <w:lang w:val="fr-FR"/>
        </w:rPr>
        <w:t>’</w:t>
      </w:r>
      <w:r w:rsidR="001E3929">
        <w:rPr>
          <w:lang w:val="fr-FR"/>
        </w:rPr>
        <w:t>état</w:t>
      </w:r>
      <w:r w:rsidR="00687120" w:rsidRPr="001E3929">
        <w:rPr>
          <w:lang w:val="fr-FR"/>
        </w:rPr>
        <w:t xml:space="preserve"> </w:t>
      </w:r>
      <w:r>
        <w:rPr>
          <w:lang w:val="fr-FR"/>
        </w:rPr>
        <w:t xml:space="preserve">de santé </w:t>
      </w:r>
      <w:r w:rsidR="00687120" w:rsidRPr="001E3929">
        <w:rPr>
          <w:lang w:val="fr-FR"/>
        </w:rPr>
        <w:t>de</w:t>
      </w:r>
      <w:r w:rsidR="00687120">
        <w:rPr>
          <w:lang w:val="fr-FR"/>
        </w:rPr>
        <w:t xml:space="preserve"> la mère et des difficultés du père. La cour d</w:t>
      </w:r>
      <w:r w:rsidR="00E91700">
        <w:rPr>
          <w:lang w:val="fr-FR"/>
        </w:rPr>
        <w:t>’</w:t>
      </w:r>
      <w:r w:rsidR="00687120">
        <w:rPr>
          <w:lang w:val="fr-FR"/>
        </w:rPr>
        <w:t>appel nota qu</w:t>
      </w:r>
      <w:r w:rsidR="00E91700">
        <w:rPr>
          <w:lang w:val="fr-FR"/>
        </w:rPr>
        <w:t>’</w:t>
      </w:r>
      <w:r w:rsidR="00687120">
        <w:rPr>
          <w:lang w:val="fr-FR"/>
        </w:rPr>
        <w:t xml:space="preserve">il y avait eu des évolutions positives de la situation, telle que la prise de conscience </w:t>
      </w:r>
      <w:r>
        <w:rPr>
          <w:lang w:val="fr-FR"/>
        </w:rPr>
        <w:t>de l</w:t>
      </w:r>
      <w:r w:rsidR="00687120">
        <w:rPr>
          <w:lang w:val="fr-FR"/>
        </w:rPr>
        <w:t xml:space="preserve">a mère de ses problèmes de santé et sa volonté de suivre un parcours thérapeutique ainsi que les efforts du père </w:t>
      </w:r>
      <w:r w:rsidR="001E3929">
        <w:rPr>
          <w:lang w:val="fr-FR"/>
        </w:rPr>
        <w:t xml:space="preserve">pour </w:t>
      </w:r>
      <w:r w:rsidR="00687120">
        <w:rPr>
          <w:lang w:val="fr-FR"/>
        </w:rPr>
        <w:t xml:space="preserve">trouver des ressources </w:t>
      </w:r>
      <w:r w:rsidR="001E3929">
        <w:rPr>
          <w:lang w:val="fr-FR"/>
        </w:rPr>
        <w:t xml:space="preserve">afin de </w:t>
      </w:r>
      <w:r w:rsidR="00687120">
        <w:rPr>
          <w:lang w:val="fr-FR"/>
        </w:rPr>
        <w:t>s</w:t>
      </w:r>
      <w:r w:rsidR="00E91700">
        <w:rPr>
          <w:lang w:val="fr-FR"/>
        </w:rPr>
        <w:t>’</w:t>
      </w:r>
      <w:r w:rsidR="00687120">
        <w:rPr>
          <w:lang w:val="fr-FR"/>
        </w:rPr>
        <w:t xml:space="preserve">occuper de ses enfants </w:t>
      </w:r>
      <w:r w:rsidR="001E3929">
        <w:rPr>
          <w:lang w:val="fr-FR"/>
        </w:rPr>
        <w:t xml:space="preserve">ou encore </w:t>
      </w:r>
      <w:r w:rsidR="00687120">
        <w:rPr>
          <w:lang w:val="fr-FR"/>
        </w:rPr>
        <w:t xml:space="preserve">la disponibilité du grand-père </w:t>
      </w:r>
      <w:r w:rsidR="001E3929">
        <w:rPr>
          <w:lang w:val="fr-FR"/>
        </w:rPr>
        <w:t xml:space="preserve">pour </w:t>
      </w:r>
      <w:r w:rsidR="00687120">
        <w:rPr>
          <w:lang w:val="fr-FR"/>
        </w:rPr>
        <w:t>aider son fils. Toutefois, selon la cour d</w:t>
      </w:r>
      <w:r w:rsidR="00E91700">
        <w:rPr>
          <w:lang w:val="fr-FR"/>
        </w:rPr>
        <w:t>’</w:t>
      </w:r>
      <w:r w:rsidR="00687120">
        <w:rPr>
          <w:lang w:val="fr-FR"/>
        </w:rPr>
        <w:t>appel, ces éléments n</w:t>
      </w:r>
      <w:r w:rsidR="00E91700">
        <w:rPr>
          <w:lang w:val="fr-FR"/>
        </w:rPr>
        <w:t>’</w:t>
      </w:r>
      <w:r w:rsidR="00687120">
        <w:rPr>
          <w:lang w:val="fr-FR"/>
        </w:rPr>
        <w:t>étaient pas suffisants aux fins de l</w:t>
      </w:r>
      <w:r w:rsidR="00E91700">
        <w:rPr>
          <w:lang w:val="fr-FR"/>
        </w:rPr>
        <w:t>’</w:t>
      </w:r>
      <w:r w:rsidR="00687120">
        <w:rPr>
          <w:lang w:val="fr-FR"/>
        </w:rPr>
        <w:t xml:space="preserve">évaluation de la capacité </w:t>
      </w:r>
      <w:r w:rsidR="001E3929" w:rsidRPr="001E3929">
        <w:rPr>
          <w:lang w:val="fr-FR"/>
        </w:rPr>
        <w:t xml:space="preserve">des deux parents </w:t>
      </w:r>
      <w:r w:rsidR="00687120">
        <w:rPr>
          <w:lang w:val="fr-FR"/>
        </w:rPr>
        <w:t>d</w:t>
      </w:r>
      <w:r w:rsidR="00E91700">
        <w:rPr>
          <w:lang w:val="fr-FR"/>
        </w:rPr>
        <w:t>’</w:t>
      </w:r>
      <w:r w:rsidR="00687120">
        <w:rPr>
          <w:lang w:val="fr-FR"/>
        </w:rPr>
        <w:t>exercer le</w:t>
      </w:r>
      <w:r w:rsidR="001E3929">
        <w:rPr>
          <w:lang w:val="fr-FR"/>
        </w:rPr>
        <w:t>ur</w:t>
      </w:r>
      <w:r w:rsidR="00687120">
        <w:rPr>
          <w:lang w:val="fr-FR"/>
        </w:rPr>
        <w:t xml:space="preserve"> rôle parental. Compte tenu de ces éléments et dans le but de sauvegarder l</w:t>
      </w:r>
      <w:r w:rsidR="00E91700">
        <w:rPr>
          <w:lang w:val="fr-FR"/>
        </w:rPr>
        <w:t>’</w:t>
      </w:r>
      <w:r w:rsidR="00687120">
        <w:rPr>
          <w:lang w:val="fr-FR"/>
        </w:rPr>
        <w:t>intérêt des enfants, la cour d</w:t>
      </w:r>
      <w:r w:rsidR="00E91700">
        <w:rPr>
          <w:lang w:val="fr-FR"/>
        </w:rPr>
        <w:t>’</w:t>
      </w:r>
      <w:r w:rsidR="00687120">
        <w:rPr>
          <w:lang w:val="fr-FR"/>
        </w:rPr>
        <w:t xml:space="preserve">appel </w:t>
      </w:r>
      <w:r w:rsidR="001E3929">
        <w:rPr>
          <w:lang w:val="fr-FR"/>
        </w:rPr>
        <w:t>concluait ainsi à la confirmation de l</w:t>
      </w:r>
      <w:r w:rsidR="00E91700">
        <w:rPr>
          <w:lang w:val="fr-FR"/>
        </w:rPr>
        <w:t>’</w:t>
      </w:r>
      <w:r w:rsidR="00687120">
        <w:rPr>
          <w:lang w:val="fr-FR"/>
        </w:rPr>
        <w:t>adoptabilité.</w:t>
      </w:r>
    </w:p>
    <w:p w:rsidR="001E615E" w:rsidRDefault="00C1638D" w:rsidP="00FE7E1F">
      <w:pPr>
        <w:pStyle w:val="ECHRPara"/>
        <w:rPr>
          <w:lang w:val="fr-FR"/>
        </w:rPr>
      </w:pPr>
      <w:r>
        <w:rPr>
          <w:lang w:val="fr-FR"/>
        </w:rPr>
        <w:fldChar w:fldCharType="begin"/>
      </w:r>
      <w:r>
        <w:rPr>
          <w:lang w:val="fr-FR"/>
        </w:rPr>
        <w:instrText xml:space="preserve"> SEQ level0 \*arabic </w:instrText>
      </w:r>
      <w:r>
        <w:rPr>
          <w:lang w:val="fr-FR"/>
        </w:rPr>
        <w:fldChar w:fldCharType="separate"/>
      </w:r>
      <w:r w:rsidR="0096090F">
        <w:rPr>
          <w:noProof/>
          <w:lang w:val="fr-FR"/>
        </w:rPr>
        <w:t>20</w:t>
      </w:r>
      <w:r>
        <w:rPr>
          <w:lang w:val="fr-FR"/>
        </w:rPr>
        <w:fldChar w:fldCharType="end"/>
      </w:r>
      <w:r>
        <w:rPr>
          <w:lang w:val="fr-FR"/>
        </w:rPr>
        <w:t>.  </w:t>
      </w:r>
      <w:r w:rsidR="00687120">
        <w:rPr>
          <w:lang w:val="fr-FR"/>
        </w:rPr>
        <w:t>La requérante et le père des enfants se pourvurent en cassation.</w:t>
      </w:r>
      <w:r w:rsidR="00A5628A">
        <w:rPr>
          <w:lang w:val="fr-FR"/>
        </w:rPr>
        <w:t xml:space="preserve"> </w:t>
      </w:r>
      <w:r w:rsidR="00687120">
        <w:rPr>
          <w:lang w:val="fr-FR"/>
        </w:rPr>
        <w:t>Par un arrêt déposé au greffe le 22 janvier 2014, la Cour de cassation débouta la requérante de son pourvoi</w:t>
      </w:r>
      <w:r w:rsidR="001E615E">
        <w:rPr>
          <w:lang w:val="fr-FR"/>
        </w:rPr>
        <w:t>, considérant :</w:t>
      </w:r>
    </w:p>
    <w:p w:rsidR="001E615E" w:rsidRDefault="00170A88" w:rsidP="00FE7E1F">
      <w:pPr>
        <w:pStyle w:val="ECHRPara"/>
        <w:rPr>
          <w:lang w:val="fr-FR"/>
        </w:rPr>
      </w:pPr>
      <w:r>
        <w:rPr>
          <w:lang w:val="fr-FR"/>
        </w:rPr>
        <w:t>–  </w:t>
      </w:r>
      <w:r w:rsidR="00687120">
        <w:rPr>
          <w:lang w:val="fr-FR"/>
        </w:rPr>
        <w:t>que la cour d</w:t>
      </w:r>
      <w:r w:rsidR="00E91700">
        <w:rPr>
          <w:lang w:val="fr-FR"/>
        </w:rPr>
        <w:t>’</w:t>
      </w:r>
      <w:r w:rsidR="00687120">
        <w:rPr>
          <w:lang w:val="fr-FR"/>
        </w:rPr>
        <w:t>appel avait correctement évalué l</w:t>
      </w:r>
      <w:r w:rsidR="00E91700">
        <w:rPr>
          <w:lang w:val="fr-FR"/>
        </w:rPr>
        <w:t>’</w:t>
      </w:r>
      <w:r w:rsidR="00687120">
        <w:rPr>
          <w:lang w:val="fr-FR"/>
        </w:rPr>
        <w:t>existence d</w:t>
      </w:r>
      <w:r w:rsidR="00E91700">
        <w:rPr>
          <w:lang w:val="fr-FR"/>
        </w:rPr>
        <w:t>’</w:t>
      </w:r>
      <w:r w:rsidR="00687120">
        <w:rPr>
          <w:lang w:val="fr-FR"/>
        </w:rPr>
        <w:t>une situation d</w:t>
      </w:r>
      <w:r w:rsidR="00E91700">
        <w:rPr>
          <w:lang w:val="fr-FR"/>
        </w:rPr>
        <w:t>’</w:t>
      </w:r>
      <w:r w:rsidR="00687120">
        <w:rPr>
          <w:lang w:val="fr-FR"/>
        </w:rPr>
        <w:t>abandon moral des enfants et l</w:t>
      </w:r>
      <w:r w:rsidR="00E91700">
        <w:rPr>
          <w:lang w:val="fr-FR"/>
        </w:rPr>
        <w:t>’</w:t>
      </w:r>
      <w:r w:rsidR="00687120">
        <w:rPr>
          <w:lang w:val="fr-FR"/>
        </w:rPr>
        <w:t>irréversibilité de l</w:t>
      </w:r>
      <w:r w:rsidR="00E91700">
        <w:rPr>
          <w:lang w:val="fr-FR"/>
        </w:rPr>
        <w:t>’</w:t>
      </w:r>
      <w:r w:rsidR="00687120">
        <w:rPr>
          <w:lang w:val="fr-FR"/>
        </w:rPr>
        <w:t>incapacité des parents d</w:t>
      </w:r>
      <w:r w:rsidR="00E91700">
        <w:rPr>
          <w:lang w:val="fr-FR"/>
        </w:rPr>
        <w:t>’</w:t>
      </w:r>
      <w:r w:rsidR="00687120">
        <w:rPr>
          <w:lang w:val="fr-FR"/>
        </w:rPr>
        <w:t xml:space="preserve">exercer leur rôle, compte tenu de la faillite du </w:t>
      </w:r>
      <w:r w:rsidR="0024695E">
        <w:rPr>
          <w:lang w:val="fr-FR"/>
        </w:rPr>
        <w:t xml:space="preserve">premier </w:t>
      </w:r>
      <w:r w:rsidR="00687120">
        <w:rPr>
          <w:lang w:val="fr-FR"/>
        </w:rPr>
        <w:t>projet de soutien mis en place par les services sociaux</w:t>
      </w:r>
      <w:r w:rsidR="001E615E">
        <w:rPr>
          <w:lang w:val="fr-FR"/>
        </w:rPr>
        <w:t> ;</w:t>
      </w:r>
    </w:p>
    <w:p w:rsidR="00687120" w:rsidRDefault="00170A88" w:rsidP="00FE7E1F">
      <w:pPr>
        <w:pStyle w:val="ECHRPara"/>
        <w:rPr>
          <w:lang w:val="fr-FR"/>
        </w:rPr>
      </w:pPr>
      <w:r>
        <w:rPr>
          <w:lang w:val="fr-FR"/>
        </w:rPr>
        <w:t>–  </w:t>
      </w:r>
      <w:r w:rsidR="001E615E">
        <w:rPr>
          <w:lang w:val="fr-FR"/>
        </w:rPr>
        <w:t>que</w:t>
      </w:r>
      <w:r w:rsidR="00687120">
        <w:rPr>
          <w:lang w:val="fr-FR"/>
        </w:rPr>
        <w:t xml:space="preserve"> la déclaration d</w:t>
      </w:r>
      <w:r w:rsidR="00E91700">
        <w:rPr>
          <w:lang w:val="fr-FR"/>
        </w:rPr>
        <w:t>’</w:t>
      </w:r>
      <w:r w:rsidR="00687120">
        <w:rPr>
          <w:lang w:val="fr-FR"/>
        </w:rPr>
        <w:t>adoptabilité avait dûment pris en compte l</w:t>
      </w:r>
      <w:r w:rsidR="00E91700">
        <w:rPr>
          <w:lang w:val="fr-FR"/>
        </w:rPr>
        <w:t>’</w:t>
      </w:r>
      <w:r w:rsidR="00687120">
        <w:rPr>
          <w:lang w:val="fr-FR"/>
        </w:rPr>
        <w:t>intérêt des enfants à être accueillis dans une famille capable de s</w:t>
      </w:r>
      <w:r w:rsidR="00E91700">
        <w:rPr>
          <w:lang w:val="fr-FR"/>
        </w:rPr>
        <w:t>’</w:t>
      </w:r>
      <w:r w:rsidR="00687120">
        <w:rPr>
          <w:lang w:val="fr-FR"/>
        </w:rPr>
        <w:t>en occuper efficacement.</w:t>
      </w:r>
    </w:p>
    <w:p w:rsidR="001E615E" w:rsidRDefault="00C1638D" w:rsidP="00687120">
      <w:pPr>
        <w:pStyle w:val="ECHRPara"/>
        <w:rPr>
          <w:lang w:val="fr-FR"/>
        </w:rPr>
      </w:pPr>
      <w:r>
        <w:rPr>
          <w:lang w:val="fr-FR"/>
        </w:rPr>
        <w:fldChar w:fldCharType="begin"/>
      </w:r>
      <w:r>
        <w:rPr>
          <w:lang w:val="fr-FR"/>
        </w:rPr>
        <w:instrText xml:space="preserve"> SEQ level0 \*arabic </w:instrText>
      </w:r>
      <w:r>
        <w:rPr>
          <w:lang w:val="fr-FR"/>
        </w:rPr>
        <w:fldChar w:fldCharType="separate"/>
      </w:r>
      <w:r w:rsidR="0096090F">
        <w:rPr>
          <w:noProof/>
          <w:lang w:val="fr-FR"/>
        </w:rPr>
        <w:t>21</w:t>
      </w:r>
      <w:r>
        <w:rPr>
          <w:lang w:val="fr-FR"/>
        </w:rPr>
        <w:fldChar w:fldCharType="end"/>
      </w:r>
      <w:r>
        <w:rPr>
          <w:lang w:val="fr-FR"/>
        </w:rPr>
        <w:t>.  </w:t>
      </w:r>
      <w:r w:rsidR="00687120">
        <w:rPr>
          <w:lang w:val="fr-FR"/>
        </w:rPr>
        <w:t xml:space="preserve">En février 2014, la requérante demanda </w:t>
      </w:r>
      <w:r w:rsidR="001E615E" w:rsidRPr="001E615E">
        <w:rPr>
          <w:lang w:val="fr-FR"/>
        </w:rPr>
        <w:t>au tribunal</w:t>
      </w:r>
      <w:r w:rsidR="00C31CD3">
        <w:rPr>
          <w:lang w:val="fr-FR"/>
        </w:rPr>
        <w:t xml:space="preserve"> </w:t>
      </w:r>
      <w:r w:rsidR="0014493A">
        <w:rPr>
          <w:lang w:val="fr-FR"/>
        </w:rPr>
        <w:t>pour</w:t>
      </w:r>
      <w:r w:rsidR="001E615E" w:rsidRPr="001E615E">
        <w:rPr>
          <w:lang w:val="fr-FR"/>
        </w:rPr>
        <w:t xml:space="preserve"> enfants de Rome </w:t>
      </w:r>
      <w:r w:rsidR="00687120">
        <w:rPr>
          <w:lang w:val="fr-FR"/>
        </w:rPr>
        <w:t>la révocation de l</w:t>
      </w:r>
      <w:r w:rsidR="001E615E">
        <w:rPr>
          <w:lang w:val="fr-FR"/>
        </w:rPr>
        <w:t>a déclaration d</w:t>
      </w:r>
      <w:r w:rsidR="00E91700">
        <w:rPr>
          <w:lang w:val="fr-FR"/>
        </w:rPr>
        <w:t>’</w:t>
      </w:r>
      <w:r w:rsidR="00687120">
        <w:rPr>
          <w:lang w:val="fr-FR"/>
        </w:rPr>
        <w:t>adoptabilité (</w:t>
      </w:r>
      <w:r w:rsidR="001E615E">
        <w:rPr>
          <w:lang w:val="fr-FR"/>
        </w:rPr>
        <w:t>sur le fondement</w:t>
      </w:r>
      <w:r w:rsidR="00687120">
        <w:rPr>
          <w:lang w:val="fr-FR"/>
        </w:rPr>
        <w:t xml:space="preserve"> de </w:t>
      </w:r>
      <w:r w:rsidR="00687120">
        <w:rPr>
          <w:lang w:val="fr-FR"/>
        </w:rPr>
        <w:lastRenderedPageBreak/>
        <w:t>l</w:t>
      </w:r>
      <w:r w:rsidR="00E91700">
        <w:rPr>
          <w:lang w:val="fr-FR"/>
        </w:rPr>
        <w:t>’</w:t>
      </w:r>
      <w:r w:rsidR="00687120">
        <w:rPr>
          <w:lang w:val="fr-FR"/>
        </w:rPr>
        <w:t>art</w:t>
      </w:r>
      <w:r w:rsidR="001E615E">
        <w:rPr>
          <w:lang w:val="fr-FR"/>
        </w:rPr>
        <w:t>icle</w:t>
      </w:r>
      <w:r w:rsidR="005D0E24">
        <w:rPr>
          <w:lang w:val="fr-FR"/>
        </w:rPr>
        <w:t> </w:t>
      </w:r>
      <w:r w:rsidR="00687120">
        <w:rPr>
          <w:lang w:val="fr-FR"/>
        </w:rPr>
        <w:t>21 de la loi n</w:t>
      </w:r>
      <w:r w:rsidR="001715D2" w:rsidRPr="001715D2">
        <w:rPr>
          <w:vertAlign w:val="superscript"/>
          <w:lang w:val="fr-FR"/>
        </w:rPr>
        <w:t>o</w:t>
      </w:r>
      <w:r w:rsidR="005D0E24">
        <w:rPr>
          <w:lang w:val="fr-FR"/>
        </w:rPr>
        <w:t> </w:t>
      </w:r>
      <w:r w:rsidR="00687120">
        <w:rPr>
          <w:lang w:val="fr-FR"/>
        </w:rPr>
        <w:t xml:space="preserve">184 de 1983). </w:t>
      </w:r>
      <w:r w:rsidR="00CD4DB6">
        <w:rPr>
          <w:lang w:val="fr-FR"/>
        </w:rPr>
        <w:t>À</w:t>
      </w:r>
      <w:r w:rsidR="00687120">
        <w:rPr>
          <w:lang w:val="fr-FR"/>
        </w:rPr>
        <w:t xml:space="preserve"> l</w:t>
      </w:r>
      <w:r w:rsidR="00E91700">
        <w:rPr>
          <w:lang w:val="fr-FR"/>
        </w:rPr>
        <w:t>’</w:t>
      </w:r>
      <w:r w:rsidR="00687120">
        <w:rPr>
          <w:lang w:val="fr-FR"/>
        </w:rPr>
        <w:t xml:space="preserve">appui de sa demande, la requérante produisit </w:t>
      </w:r>
      <w:r w:rsidR="001E615E">
        <w:rPr>
          <w:lang w:val="fr-FR"/>
        </w:rPr>
        <w:t>divers documents médicaux</w:t>
      </w:r>
      <w:r w:rsidR="00687120">
        <w:rPr>
          <w:lang w:val="fr-FR"/>
        </w:rPr>
        <w:t xml:space="preserve"> attestant que son état de santé s</w:t>
      </w:r>
      <w:r w:rsidR="00E91700">
        <w:rPr>
          <w:lang w:val="fr-FR"/>
        </w:rPr>
        <w:t>’</w:t>
      </w:r>
      <w:r w:rsidR="00687120">
        <w:rPr>
          <w:lang w:val="fr-FR"/>
        </w:rPr>
        <w:t>était entre-temps amélioré</w:t>
      </w:r>
      <w:r w:rsidR="001E615E">
        <w:rPr>
          <w:lang w:val="fr-FR"/>
        </w:rPr>
        <w:t>,</w:t>
      </w:r>
      <w:r w:rsidR="00687120">
        <w:rPr>
          <w:lang w:val="fr-FR"/>
        </w:rPr>
        <w:t xml:space="preserve"> et </w:t>
      </w:r>
      <w:r w:rsidR="001E615E">
        <w:rPr>
          <w:lang w:val="fr-FR"/>
        </w:rPr>
        <w:t>ce afin de</w:t>
      </w:r>
      <w:r w:rsidR="00687120">
        <w:rPr>
          <w:lang w:val="fr-FR"/>
        </w:rPr>
        <w:t xml:space="preserve"> prouver que les conditions prévues par l</w:t>
      </w:r>
      <w:r w:rsidR="00E91700">
        <w:rPr>
          <w:lang w:val="fr-FR"/>
        </w:rPr>
        <w:t>’</w:t>
      </w:r>
      <w:r w:rsidR="00687120">
        <w:rPr>
          <w:lang w:val="fr-FR"/>
        </w:rPr>
        <w:t>art</w:t>
      </w:r>
      <w:r w:rsidR="001E615E">
        <w:rPr>
          <w:lang w:val="fr-FR"/>
        </w:rPr>
        <w:t>icle</w:t>
      </w:r>
      <w:r w:rsidR="005D0E24">
        <w:rPr>
          <w:lang w:val="fr-FR"/>
        </w:rPr>
        <w:t> </w:t>
      </w:r>
      <w:r w:rsidR="00687120">
        <w:rPr>
          <w:lang w:val="fr-FR"/>
        </w:rPr>
        <w:t>8 de la loi n</w:t>
      </w:r>
      <w:r w:rsidR="001715D2" w:rsidRPr="001715D2">
        <w:rPr>
          <w:vertAlign w:val="superscript"/>
          <w:lang w:val="fr-FR"/>
        </w:rPr>
        <w:t>o</w:t>
      </w:r>
      <w:r w:rsidR="005D0E24">
        <w:rPr>
          <w:lang w:val="fr-FR"/>
        </w:rPr>
        <w:t> </w:t>
      </w:r>
      <w:r w:rsidR="00687120">
        <w:rPr>
          <w:lang w:val="fr-FR"/>
        </w:rPr>
        <w:t>184 de 1983 pour pouvoir déclarer l</w:t>
      </w:r>
      <w:r w:rsidR="00E91700">
        <w:rPr>
          <w:lang w:val="fr-FR"/>
        </w:rPr>
        <w:t>’</w:t>
      </w:r>
      <w:r w:rsidR="00687120">
        <w:rPr>
          <w:lang w:val="fr-FR"/>
        </w:rPr>
        <w:t>adoptabilité avaien</w:t>
      </w:r>
      <w:r>
        <w:rPr>
          <w:lang w:val="fr-FR"/>
        </w:rPr>
        <w:t xml:space="preserve">t </w:t>
      </w:r>
      <w:r w:rsidR="001E615E">
        <w:rPr>
          <w:lang w:val="fr-FR"/>
        </w:rPr>
        <w:t>désormais</w:t>
      </w:r>
      <w:r>
        <w:rPr>
          <w:lang w:val="fr-FR"/>
        </w:rPr>
        <w:t xml:space="preserve"> disparu.</w:t>
      </w:r>
    </w:p>
    <w:p w:rsidR="00687120" w:rsidRDefault="00C1638D" w:rsidP="00687120">
      <w:pPr>
        <w:pStyle w:val="ECHRPara"/>
        <w:rPr>
          <w:lang w:val="fr-FR"/>
        </w:rPr>
      </w:pPr>
      <w:r>
        <w:rPr>
          <w:lang w:val="fr-FR"/>
        </w:rPr>
        <w:t xml:space="preserve">Par une décision du 14 mai 2014, le </w:t>
      </w:r>
      <w:r w:rsidR="00601DF7">
        <w:rPr>
          <w:lang w:val="fr-FR"/>
        </w:rPr>
        <w:t xml:space="preserve">tribunal </w:t>
      </w:r>
      <w:r w:rsidR="00010BEB">
        <w:rPr>
          <w:lang w:val="fr-FR"/>
        </w:rPr>
        <w:t>pour</w:t>
      </w:r>
      <w:r w:rsidR="00601DF7">
        <w:rPr>
          <w:lang w:val="fr-FR"/>
        </w:rPr>
        <w:t xml:space="preserve"> enfants</w:t>
      </w:r>
      <w:r>
        <w:rPr>
          <w:lang w:val="fr-FR"/>
        </w:rPr>
        <w:t xml:space="preserve"> de Rome rejeta la demande de la requérante.</w:t>
      </w:r>
    </w:p>
    <w:p w:rsidR="00E77CB3" w:rsidRPr="001F576E" w:rsidRDefault="00E84A4E" w:rsidP="0074457F">
      <w:pPr>
        <w:pStyle w:val="ECHRPara"/>
        <w:rPr>
          <w:lang w:val="fr-FR"/>
        </w:rPr>
      </w:pPr>
      <w:r>
        <w:rPr>
          <w:lang w:val="fr-FR"/>
        </w:rPr>
        <w:fldChar w:fldCharType="begin"/>
      </w:r>
      <w:r>
        <w:rPr>
          <w:lang w:val="fr-FR"/>
        </w:rPr>
        <w:instrText xml:space="preserve"> SEQ level0 \*arabic </w:instrText>
      </w:r>
      <w:r>
        <w:rPr>
          <w:lang w:val="fr-FR"/>
        </w:rPr>
        <w:fldChar w:fldCharType="separate"/>
      </w:r>
      <w:r w:rsidR="0096090F">
        <w:rPr>
          <w:noProof/>
          <w:lang w:val="fr-FR"/>
        </w:rPr>
        <w:t>22</w:t>
      </w:r>
      <w:r>
        <w:rPr>
          <w:lang w:val="fr-FR"/>
        </w:rPr>
        <w:fldChar w:fldCharType="end"/>
      </w:r>
      <w:r>
        <w:rPr>
          <w:lang w:val="fr-FR"/>
        </w:rPr>
        <w:t>.  L</w:t>
      </w:r>
      <w:r w:rsidR="00E91700">
        <w:rPr>
          <w:lang w:val="fr-FR"/>
        </w:rPr>
        <w:t>’</w:t>
      </w:r>
      <w:r>
        <w:rPr>
          <w:lang w:val="fr-FR"/>
        </w:rPr>
        <w:t>issue de la procédure d</w:t>
      </w:r>
      <w:r w:rsidR="00E91700">
        <w:rPr>
          <w:lang w:val="fr-FR"/>
        </w:rPr>
        <w:t>’</w:t>
      </w:r>
      <w:r>
        <w:rPr>
          <w:lang w:val="fr-FR"/>
        </w:rPr>
        <w:t>adoption des enfants n</w:t>
      </w:r>
      <w:r w:rsidR="00E91700">
        <w:rPr>
          <w:lang w:val="fr-FR"/>
        </w:rPr>
        <w:t>’</w:t>
      </w:r>
      <w:r>
        <w:rPr>
          <w:lang w:val="fr-FR"/>
        </w:rPr>
        <w:t>est pas connue.</w:t>
      </w:r>
    </w:p>
    <w:p w:rsidR="00E77CB3" w:rsidRPr="001F576E" w:rsidRDefault="00E77CB3" w:rsidP="00C63990">
      <w:pPr>
        <w:pStyle w:val="ECHRHeading1"/>
        <w:rPr>
          <w:lang w:val="fr-FR"/>
        </w:rPr>
      </w:pPr>
      <w:r w:rsidRPr="001F576E">
        <w:rPr>
          <w:lang w:val="fr-FR"/>
        </w:rPr>
        <w:t>II.  LE DROIT INTERNE PERTINENT</w:t>
      </w:r>
    </w:p>
    <w:p w:rsidR="00E77CB3" w:rsidRPr="00CC5D10" w:rsidRDefault="00863E96" w:rsidP="00C63990">
      <w:pPr>
        <w:pStyle w:val="ECHRPara"/>
        <w:rPr>
          <w:i/>
          <w:lang w:val="fr-FR"/>
        </w:rPr>
      </w:pPr>
      <w:r>
        <w:rPr>
          <w:lang w:val="fr-FR"/>
        </w:rPr>
        <w:fldChar w:fldCharType="begin"/>
      </w:r>
      <w:r>
        <w:rPr>
          <w:lang w:val="fr-FR"/>
        </w:rPr>
        <w:instrText xml:space="preserve"> SEQ level0 \*arabic </w:instrText>
      </w:r>
      <w:r>
        <w:rPr>
          <w:lang w:val="fr-FR"/>
        </w:rPr>
        <w:fldChar w:fldCharType="separate"/>
      </w:r>
      <w:r w:rsidR="0096090F">
        <w:rPr>
          <w:noProof/>
          <w:lang w:val="fr-FR"/>
        </w:rPr>
        <w:t>23</w:t>
      </w:r>
      <w:r>
        <w:rPr>
          <w:lang w:val="fr-FR"/>
        </w:rPr>
        <w:fldChar w:fldCharType="end"/>
      </w:r>
      <w:r w:rsidR="00E77CB3" w:rsidRPr="001F576E">
        <w:rPr>
          <w:lang w:val="fr-FR"/>
        </w:rPr>
        <w:t>.  </w:t>
      </w:r>
      <w:r w:rsidR="00E14C63" w:rsidRPr="001C2D5F">
        <w:rPr>
          <w:lang w:val="fr-FR" w:eastAsia="en-GB"/>
        </w:rPr>
        <w:t>Le</w:t>
      </w:r>
      <w:r w:rsidR="00E14C63">
        <w:rPr>
          <w:lang w:val="fr-FR" w:eastAsia="en-GB"/>
        </w:rPr>
        <w:t xml:space="preserve"> droit interne pertinent se trouve décrit dans l</w:t>
      </w:r>
      <w:r w:rsidR="003172FD">
        <w:rPr>
          <w:lang w:val="fr-FR" w:eastAsia="en-GB"/>
        </w:rPr>
        <w:t xml:space="preserve">es </w:t>
      </w:r>
      <w:r w:rsidR="00E14C63">
        <w:rPr>
          <w:lang w:val="fr-FR" w:eastAsia="en-GB"/>
        </w:rPr>
        <w:t>affaire</w:t>
      </w:r>
      <w:r w:rsidR="003172FD">
        <w:rPr>
          <w:lang w:val="fr-FR" w:eastAsia="en-GB"/>
        </w:rPr>
        <w:t>s</w:t>
      </w:r>
      <w:r w:rsidR="00E14C63">
        <w:rPr>
          <w:lang w:val="fr-FR" w:eastAsia="en-GB"/>
        </w:rPr>
        <w:t xml:space="preserve"> </w:t>
      </w:r>
      <w:proofErr w:type="spellStart"/>
      <w:r w:rsidR="003B0C32" w:rsidRPr="003B0C32">
        <w:rPr>
          <w:i/>
          <w:lang w:val="fr-FR"/>
        </w:rPr>
        <w:t>Akinnibosun</w:t>
      </w:r>
      <w:proofErr w:type="spellEnd"/>
      <w:r w:rsidR="003B0C32" w:rsidRPr="003B0C32">
        <w:rPr>
          <w:i/>
          <w:lang w:val="fr-FR"/>
        </w:rPr>
        <w:t xml:space="preserve"> c. Italie</w:t>
      </w:r>
      <w:r w:rsidR="003B0C32" w:rsidRPr="003B0C32">
        <w:rPr>
          <w:snapToGrid w:val="0"/>
          <w:lang w:val="fr-FR"/>
        </w:rPr>
        <w:t xml:space="preserve">, </w:t>
      </w:r>
      <w:r w:rsidR="00450ACF">
        <w:rPr>
          <w:snapToGrid w:val="0"/>
          <w:lang w:val="fr-FR"/>
        </w:rPr>
        <w:t>(</w:t>
      </w:r>
      <w:r w:rsidR="003B0C32" w:rsidRPr="003B0C32">
        <w:rPr>
          <w:lang w:val="fr-FR"/>
        </w:rPr>
        <w:t>n</w:t>
      </w:r>
      <w:r w:rsidR="003B0C32" w:rsidRPr="003B0C32">
        <w:rPr>
          <w:vertAlign w:val="superscript"/>
          <w:lang w:val="fr-FR"/>
        </w:rPr>
        <w:t>o</w:t>
      </w:r>
      <w:r w:rsidR="005D0E24">
        <w:rPr>
          <w:lang w:val="fr-FR"/>
        </w:rPr>
        <w:t> </w:t>
      </w:r>
      <w:r w:rsidR="003B0C32" w:rsidRPr="003B0C32">
        <w:rPr>
          <w:lang w:val="fr-FR"/>
        </w:rPr>
        <w:t>9056/14</w:t>
      </w:r>
      <w:r w:rsidR="003B0C32">
        <w:rPr>
          <w:snapToGrid w:val="0"/>
          <w:lang w:val="fr-FR"/>
        </w:rPr>
        <w:t>, § 45</w:t>
      </w:r>
      <w:r w:rsidR="003B0C32" w:rsidRPr="003B0C32">
        <w:rPr>
          <w:snapToGrid w:val="0"/>
          <w:lang w:val="fr-FR"/>
        </w:rPr>
        <w:t xml:space="preserve">, 16 </w:t>
      </w:r>
      <w:r w:rsidR="003B0C32" w:rsidRPr="003B0C32">
        <w:rPr>
          <w:lang w:val="fr-FR"/>
        </w:rPr>
        <w:t>juillet</w:t>
      </w:r>
      <w:r w:rsidR="003B0C32">
        <w:rPr>
          <w:lang w:val="fr-FR"/>
        </w:rPr>
        <w:t xml:space="preserve"> 2015</w:t>
      </w:r>
      <w:r w:rsidR="00450ACF">
        <w:rPr>
          <w:lang w:val="fr-FR"/>
        </w:rPr>
        <w:t>)</w:t>
      </w:r>
      <w:r w:rsidR="003172FD">
        <w:rPr>
          <w:lang w:val="fr-FR"/>
        </w:rPr>
        <w:t xml:space="preserve"> et</w:t>
      </w:r>
      <w:r w:rsidR="00CC5D10">
        <w:rPr>
          <w:lang w:val="fr-FR"/>
        </w:rPr>
        <w:t xml:space="preserve"> </w:t>
      </w:r>
      <w:r w:rsidR="00CC5D10" w:rsidRPr="00CC5D10">
        <w:rPr>
          <w:i/>
          <w:lang w:val="fr-FR"/>
        </w:rPr>
        <w:t>Zhou c. Italie</w:t>
      </w:r>
      <w:r w:rsidR="00CC5D10" w:rsidRPr="00CC5D10">
        <w:rPr>
          <w:snapToGrid w:val="0"/>
          <w:lang w:val="fr-FR"/>
        </w:rPr>
        <w:t xml:space="preserve">, </w:t>
      </w:r>
      <w:r w:rsidR="00450ACF">
        <w:rPr>
          <w:snapToGrid w:val="0"/>
          <w:lang w:val="fr-FR"/>
        </w:rPr>
        <w:t>(</w:t>
      </w:r>
      <w:r w:rsidR="00CC5D10" w:rsidRPr="00CC5D10">
        <w:rPr>
          <w:lang w:val="fr-FR"/>
        </w:rPr>
        <w:t>n</w:t>
      </w:r>
      <w:r w:rsidR="00CC5D10" w:rsidRPr="00CC5D10">
        <w:rPr>
          <w:vertAlign w:val="superscript"/>
          <w:lang w:val="fr-FR"/>
        </w:rPr>
        <w:t>o</w:t>
      </w:r>
      <w:r w:rsidR="00CA0155" w:rsidRPr="001F576E">
        <w:rPr>
          <w:lang w:val="fr-FR"/>
        </w:rPr>
        <w:t>  </w:t>
      </w:r>
      <w:r w:rsidR="00CC5D10" w:rsidRPr="00CC5D10">
        <w:rPr>
          <w:lang w:val="fr-FR"/>
        </w:rPr>
        <w:t>33773/11, §§ 24-26, 21 janvier 2014)</w:t>
      </w:r>
      <w:r w:rsidR="00CC5D10">
        <w:rPr>
          <w:lang w:val="fr-FR"/>
        </w:rPr>
        <w:t>.</w:t>
      </w:r>
    </w:p>
    <w:p w:rsidR="00E77CB3" w:rsidRPr="001F576E" w:rsidRDefault="00E77CB3" w:rsidP="00E77CB3">
      <w:pPr>
        <w:pStyle w:val="ECHRTitle1"/>
        <w:rPr>
          <w:lang w:val="fr-FR"/>
        </w:rPr>
      </w:pPr>
      <w:r w:rsidRPr="001F576E">
        <w:rPr>
          <w:lang w:val="fr-FR"/>
        </w:rPr>
        <w:t>EN DROIT</w:t>
      </w:r>
    </w:p>
    <w:p w:rsidR="00E77CB3" w:rsidRPr="001F576E" w:rsidRDefault="00E77CB3" w:rsidP="00C63990">
      <w:pPr>
        <w:pStyle w:val="ECHRHeading1"/>
        <w:rPr>
          <w:lang w:val="fr-FR"/>
        </w:rPr>
      </w:pPr>
      <w:r w:rsidRPr="001F576E">
        <w:rPr>
          <w:lang w:val="fr-FR"/>
        </w:rPr>
        <w:t>I.  SUR LA VIOLATION ALLÉGUÉE DE L</w:t>
      </w:r>
      <w:r w:rsidR="00E91700">
        <w:rPr>
          <w:lang w:val="fr-FR"/>
        </w:rPr>
        <w:t>’</w:t>
      </w:r>
      <w:r w:rsidRPr="001F576E">
        <w:rPr>
          <w:lang w:val="fr-FR"/>
        </w:rPr>
        <w:t>ARTICLE</w:t>
      </w:r>
      <w:r w:rsidR="005D0E24">
        <w:rPr>
          <w:lang w:val="fr-FR"/>
        </w:rPr>
        <w:t> </w:t>
      </w:r>
      <w:r w:rsidR="00E14C63">
        <w:rPr>
          <w:lang w:val="fr-FR"/>
        </w:rPr>
        <w:t>8</w:t>
      </w:r>
      <w:r w:rsidRPr="001F576E">
        <w:rPr>
          <w:lang w:val="fr-FR"/>
        </w:rPr>
        <w:t xml:space="preserve"> DE LA CONVENTION</w:t>
      </w:r>
    </w:p>
    <w:p w:rsidR="005337EE" w:rsidRDefault="00863E96" w:rsidP="00C63990">
      <w:pPr>
        <w:pStyle w:val="ECHRPara"/>
        <w:rPr>
          <w:lang w:val="fr-FR"/>
        </w:rPr>
      </w:pPr>
      <w:r>
        <w:rPr>
          <w:lang w:val="fr-FR"/>
        </w:rPr>
        <w:fldChar w:fldCharType="begin"/>
      </w:r>
      <w:r>
        <w:rPr>
          <w:lang w:val="fr-FR"/>
        </w:rPr>
        <w:instrText xml:space="preserve"> SEQ level0 \*arabic </w:instrText>
      </w:r>
      <w:r>
        <w:rPr>
          <w:lang w:val="fr-FR"/>
        </w:rPr>
        <w:fldChar w:fldCharType="separate"/>
      </w:r>
      <w:r w:rsidR="0096090F">
        <w:rPr>
          <w:noProof/>
          <w:lang w:val="fr-FR"/>
        </w:rPr>
        <w:t>24</w:t>
      </w:r>
      <w:r>
        <w:rPr>
          <w:lang w:val="fr-FR"/>
        </w:rPr>
        <w:fldChar w:fldCharType="end"/>
      </w:r>
      <w:r w:rsidR="00E77CB3" w:rsidRPr="001F576E">
        <w:rPr>
          <w:lang w:val="fr-FR"/>
        </w:rPr>
        <w:t>.  </w:t>
      </w:r>
      <w:proofErr w:type="gramStart"/>
      <w:r w:rsidRPr="001F576E">
        <w:rPr>
          <w:lang w:val="fr-FR"/>
        </w:rPr>
        <w:t>La requérante</w:t>
      </w:r>
      <w:proofErr w:type="gramEnd"/>
      <w:r w:rsidR="00E77CB3" w:rsidRPr="001F576E">
        <w:rPr>
          <w:lang w:val="fr-FR"/>
        </w:rPr>
        <w:t xml:space="preserve"> </w:t>
      </w:r>
      <w:r w:rsidR="008E0864">
        <w:rPr>
          <w:lang w:val="fr-FR"/>
        </w:rPr>
        <w:t xml:space="preserve">reproche aux </w:t>
      </w:r>
      <w:r w:rsidR="00EA77AE">
        <w:rPr>
          <w:lang w:val="fr-FR"/>
        </w:rPr>
        <w:t xml:space="preserve">autorités internes </w:t>
      </w:r>
      <w:r w:rsidR="004E197D">
        <w:rPr>
          <w:lang w:val="fr-FR"/>
        </w:rPr>
        <w:t>d</w:t>
      </w:r>
      <w:r w:rsidR="00E91700">
        <w:rPr>
          <w:lang w:val="fr-FR"/>
        </w:rPr>
        <w:t>’</w:t>
      </w:r>
      <w:r w:rsidR="004E197D">
        <w:rPr>
          <w:lang w:val="fr-FR"/>
        </w:rPr>
        <w:t xml:space="preserve">avoir </w:t>
      </w:r>
      <w:r w:rsidR="00EA77AE">
        <w:rPr>
          <w:lang w:val="fr-FR"/>
        </w:rPr>
        <w:t>déclaré l</w:t>
      </w:r>
      <w:r w:rsidR="00E91700">
        <w:rPr>
          <w:lang w:val="fr-FR"/>
        </w:rPr>
        <w:t>’</w:t>
      </w:r>
      <w:r w:rsidR="00EA77AE">
        <w:rPr>
          <w:lang w:val="fr-FR"/>
        </w:rPr>
        <w:t>adoptabilité de ses enfants alors qu</w:t>
      </w:r>
      <w:r w:rsidR="00E91700">
        <w:rPr>
          <w:lang w:val="fr-FR"/>
        </w:rPr>
        <w:t>’</w:t>
      </w:r>
      <w:r w:rsidR="00EA77AE">
        <w:rPr>
          <w:lang w:val="fr-FR"/>
        </w:rPr>
        <w:t>il n</w:t>
      </w:r>
      <w:r w:rsidR="00E91700">
        <w:rPr>
          <w:lang w:val="fr-FR"/>
        </w:rPr>
        <w:t>’</w:t>
      </w:r>
      <w:r w:rsidR="00EA77AE">
        <w:rPr>
          <w:lang w:val="fr-FR"/>
        </w:rPr>
        <w:t>existait</w:t>
      </w:r>
      <w:r w:rsidR="008E0864">
        <w:rPr>
          <w:lang w:val="fr-FR"/>
        </w:rPr>
        <w:t xml:space="preserve"> </w:t>
      </w:r>
      <w:r w:rsidR="00EA77AE">
        <w:rPr>
          <w:lang w:val="fr-FR"/>
        </w:rPr>
        <w:t>aucune situation d</w:t>
      </w:r>
      <w:r w:rsidR="00E91700">
        <w:rPr>
          <w:lang w:val="fr-FR"/>
        </w:rPr>
        <w:t>’</w:t>
      </w:r>
      <w:r w:rsidR="00EA77AE">
        <w:rPr>
          <w:lang w:val="fr-FR"/>
        </w:rPr>
        <w:t>abandon en l</w:t>
      </w:r>
      <w:r w:rsidR="00E91700">
        <w:rPr>
          <w:lang w:val="fr-FR"/>
        </w:rPr>
        <w:t>’</w:t>
      </w:r>
      <w:r w:rsidR="00EA77AE">
        <w:rPr>
          <w:lang w:val="fr-FR"/>
        </w:rPr>
        <w:t xml:space="preserve">espèce, mais </w:t>
      </w:r>
      <w:r w:rsidR="005337EE">
        <w:rPr>
          <w:lang w:val="fr-FR"/>
        </w:rPr>
        <w:t xml:space="preserve">seulement </w:t>
      </w:r>
      <w:r w:rsidR="00EA77AE">
        <w:rPr>
          <w:lang w:val="fr-FR"/>
        </w:rPr>
        <w:t>des difficultés familiales transitoires, liées à sa pathologie dépressive et à l</w:t>
      </w:r>
      <w:r w:rsidR="00E91700">
        <w:rPr>
          <w:lang w:val="fr-FR"/>
        </w:rPr>
        <w:t>’</w:t>
      </w:r>
      <w:r w:rsidR="00EA77AE">
        <w:rPr>
          <w:lang w:val="fr-FR"/>
        </w:rPr>
        <w:t xml:space="preserve">interruption de </w:t>
      </w:r>
      <w:r w:rsidR="005337EE">
        <w:rPr>
          <w:lang w:val="fr-FR"/>
        </w:rPr>
        <w:t xml:space="preserve">sa </w:t>
      </w:r>
      <w:r w:rsidR="00EA77AE">
        <w:rPr>
          <w:lang w:val="fr-FR"/>
        </w:rPr>
        <w:t xml:space="preserve">cohabitation avec le père des enfants, </w:t>
      </w:r>
      <w:r w:rsidR="005337EE">
        <w:rPr>
          <w:lang w:val="fr-FR"/>
        </w:rPr>
        <w:t xml:space="preserve">difficultés qui pouvaient </w:t>
      </w:r>
      <w:r w:rsidR="00EA77AE">
        <w:rPr>
          <w:lang w:val="fr-FR"/>
        </w:rPr>
        <w:t>être surmontées avec la mise en place d</w:t>
      </w:r>
      <w:r w:rsidR="00E91700">
        <w:rPr>
          <w:lang w:val="fr-FR"/>
        </w:rPr>
        <w:t>’</w:t>
      </w:r>
      <w:r w:rsidR="00EA77AE">
        <w:rPr>
          <w:lang w:val="fr-FR"/>
        </w:rPr>
        <w:t>un parcours de soutien avec l</w:t>
      </w:r>
      <w:r w:rsidR="00E91700">
        <w:rPr>
          <w:lang w:val="fr-FR"/>
        </w:rPr>
        <w:t>’</w:t>
      </w:r>
      <w:r w:rsidR="00EA77AE">
        <w:rPr>
          <w:lang w:val="fr-FR"/>
        </w:rPr>
        <w:t>aide des services sociaux.</w:t>
      </w:r>
    </w:p>
    <w:p w:rsidR="005337EE" w:rsidRDefault="00EA77AE" w:rsidP="00C63990">
      <w:pPr>
        <w:pStyle w:val="ECHRPara"/>
        <w:rPr>
          <w:lang w:val="fr-FR"/>
        </w:rPr>
      </w:pPr>
      <w:r>
        <w:rPr>
          <w:lang w:val="fr-FR"/>
        </w:rPr>
        <w:t>Elle souligne que les autorités internes ont coupé tout lien avec ses enfants alors que l</w:t>
      </w:r>
      <w:r w:rsidR="00E91700">
        <w:rPr>
          <w:lang w:val="fr-FR"/>
        </w:rPr>
        <w:t>’</w:t>
      </w:r>
      <w:r>
        <w:rPr>
          <w:lang w:val="fr-FR"/>
        </w:rPr>
        <w:t xml:space="preserve">expertise avait </w:t>
      </w:r>
      <w:r w:rsidR="004D495F">
        <w:rPr>
          <w:lang w:val="fr-FR"/>
        </w:rPr>
        <w:t>établi</w:t>
      </w:r>
      <w:r w:rsidR="005337EE">
        <w:rPr>
          <w:lang w:val="fr-FR"/>
        </w:rPr>
        <w:t xml:space="preserve"> </w:t>
      </w:r>
      <w:r>
        <w:rPr>
          <w:lang w:val="fr-FR"/>
        </w:rPr>
        <w:t>que d</w:t>
      </w:r>
      <w:r w:rsidR="00E91700">
        <w:rPr>
          <w:lang w:val="fr-FR"/>
        </w:rPr>
        <w:t>’</w:t>
      </w:r>
      <w:r>
        <w:rPr>
          <w:lang w:val="fr-FR"/>
        </w:rPr>
        <w:t>autres mesures visant à sauvegarder le lien familial pouvaient être adoptées en l</w:t>
      </w:r>
      <w:r w:rsidR="00E91700">
        <w:rPr>
          <w:lang w:val="fr-FR"/>
        </w:rPr>
        <w:t>’</w:t>
      </w:r>
      <w:r>
        <w:rPr>
          <w:lang w:val="fr-FR"/>
        </w:rPr>
        <w:t>espèce.</w:t>
      </w:r>
    </w:p>
    <w:p w:rsidR="00E77CB3" w:rsidRPr="001F576E" w:rsidRDefault="00EA77AE" w:rsidP="00C63990">
      <w:pPr>
        <w:pStyle w:val="ECHRPara"/>
        <w:rPr>
          <w:lang w:val="fr-FR"/>
        </w:rPr>
      </w:pPr>
      <w:r>
        <w:rPr>
          <w:lang w:val="fr-FR"/>
        </w:rPr>
        <w:t>De ce fait, elle estime que les autorités internes ont manqué à leur obligation positive de déployer tous les efforts nécessaires afin de sauvegarder le lien parents-enfants</w:t>
      </w:r>
      <w:r w:rsidR="00CD4DB6">
        <w:rPr>
          <w:lang w:val="fr-FR"/>
        </w:rPr>
        <w:t>,</w:t>
      </w:r>
      <w:r w:rsidR="00E77CB3" w:rsidRPr="001F576E">
        <w:rPr>
          <w:lang w:val="fr-FR"/>
        </w:rPr>
        <w:t xml:space="preserve"> </w:t>
      </w:r>
      <w:r w:rsidR="00CD4DB6">
        <w:rPr>
          <w:lang w:val="fr-FR"/>
        </w:rPr>
        <w:t>inhérent à</w:t>
      </w:r>
      <w:r w:rsidR="00E77CB3" w:rsidRPr="001F576E">
        <w:rPr>
          <w:lang w:val="fr-FR"/>
        </w:rPr>
        <w:t xml:space="preserve"> l</w:t>
      </w:r>
      <w:r w:rsidR="00E91700">
        <w:rPr>
          <w:lang w:val="fr-FR"/>
        </w:rPr>
        <w:t>’</w:t>
      </w:r>
      <w:r w:rsidR="00E77CB3" w:rsidRPr="001F576E">
        <w:rPr>
          <w:lang w:val="fr-FR"/>
        </w:rPr>
        <w:t>article</w:t>
      </w:r>
      <w:r w:rsidR="005D0E24">
        <w:rPr>
          <w:lang w:val="fr-FR"/>
        </w:rPr>
        <w:t> </w:t>
      </w:r>
      <w:r>
        <w:rPr>
          <w:lang w:val="fr-FR"/>
        </w:rPr>
        <w:t>8</w:t>
      </w:r>
      <w:r w:rsidR="00E77CB3" w:rsidRPr="001F576E">
        <w:rPr>
          <w:lang w:val="fr-FR"/>
        </w:rPr>
        <w:t xml:space="preserve"> de la Convention, ainsi libellé :</w:t>
      </w:r>
    </w:p>
    <w:p w:rsidR="00EA77AE" w:rsidRPr="00EA77AE" w:rsidRDefault="00EA77AE">
      <w:pPr>
        <w:pStyle w:val="ECHRParaQuote"/>
        <w:rPr>
          <w:lang w:val="fr-FR"/>
        </w:rPr>
      </w:pPr>
      <w:r w:rsidRPr="00EA77AE">
        <w:rPr>
          <w:lang w:val="fr-FR"/>
        </w:rPr>
        <w:t>« 1.  Toute personne a droit au respect de sa vie privée et familiale, de son domicile et de sa correspondance.</w:t>
      </w:r>
    </w:p>
    <w:p w:rsidR="00E77CB3" w:rsidRPr="00EA77AE" w:rsidRDefault="00EA77AE" w:rsidP="007A69BD">
      <w:pPr>
        <w:pStyle w:val="ECHRParaQuote"/>
        <w:ind w:firstLine="284"/>
        <w:rPr>
          <w:lang w:val="fr-FR"/>
        </w:rPr>
      </w:pPr>
      <w:r w:rsidRPr="00EA77AE">
        <w:rPr>
          <w:lang w:val="fr-FR"/>
        </w:rPr>
        <w:t>2.  Il ne peut y avoir ingérence d</w:t>
      </w:r>
      <w:r w:rsidR="00E91700">
        <w:rPr>
          <w:lang w:val="fr-FR"/>
        </w:rPr>
        <w:t>’</w:t>
      </w:r>
      <w:r w:rsidRPr="00EA77AE">
        <w:rPr>
          <w:lang w:val="fr-FR"/>
        </w:rPr>
        <w:t>une autorité publique dans l</w:t>
      </w:r>
      <w:r w:rsidR="00E91700">
        <w:rPr>
          <w:lang w:val="fr-FR"/>
        </w:rPr>
        <w:t>’</w:t>
      </w:r>
      <w:r w:rsidRPr="00EA77AE">
        <w:rPr>
          <w:lang w:val="fr-FR"/>
        </w:rPr>
        <w:t>exercice de ce droit que pour autant que cette ingérence est prévue par la loi et qu</w:t>
      </w:r>
      <w:r w:rsidR="00E91700">
        <w:rPr>
          <w:lang w:val="fr-FR"/>
        </w:rPr>
        <w:t>’</w:t>
      </w:r>
      <w:r w:rsidRPr="00EA77AE">
        <w:rPr>
          <w:lang w:val="fr-FR"/>
        </w:rPr>
        <w:t>elle constitue une mesure qui, dans une société démocratique, est nécessaire à la sécurité nationale, à la sûreté publique, au bien</w:t>
      </w:r>
      <w:r w:rsidRPr="00EA77AE">
        <w:rPr>
          <w:lang w:val="fr-FR"/>
        </w:rPr>
        <w:noBreakHyphen/>
        <w:t>être économique du pays, à la défense de l</w:t>
      </w:r>
      <w:r w:rsidR="00E91700">
        <w:rPr>
          <w:lang w:val="fr-FR"/>
        </w:rPr>
        <w:t>’</w:t>
      </w:r>
      <w:r w:rsidRPr="00EA77AE">
        <w:rPr>
          <w:lang w:val="fr-FR"/>
        </w:rPr>
        <w:t>ordre et à la prévention des infractions pénales, à la protection de la santé ou de la morale, ou à la protection des droits et libertés d</w:t>
      </w:r>
      <w:r w:rsidR="00E91700">
        <w:rPr>
          <w:lang w:val="fr-FR"/>
        </w:rPr>
        <w:t>’</w:t>
      </w:r>
      <w:r w:rsidRPr="00EA77AE">
        <w:rPr>
          <w:lang w:val="fr-FR"/>
        </w:rPr>
        <w:t>autrui. »</w:t>
      </w:r>
    </w:p>
    <w:p w:rsidR="00E77CB3" w:rsidRPr="001F576E" w:rsidRDefault="00863E96" w:rsidP="0074457F">
      <w:pPr>
        <w:pStyle w:val="ECHRPara"/>
        <w:rPr>
          <w:lang w:val="fr-FR"/>
        </w:rPr>
      </w:pPr>
      <w:r>
        <w:rPr>
          <w:lang w:val="fr-FR"/>
        </w:rPr>
        <w:fldChar w:fldCharType="begin"/>
      </w:r>
      <w:r>
        <w:rPr>
          <w:lang w:val="fr-FR"/>
        </w:rPr>
        <w:instrText xml:space="preserve"> SEQ level0 \*arabic </w:instrText>
      </w:r>
      <w:r>
        <w:rPr>
          <w:lang w:val="fr-FR"/>
        </w:rPr>
        <w:fldChar w:fldCharType="separate"/>
      </w:r>
      <w:r w:rsidR="0096090F">
        <w:rPr>
          <w:noProof/>
          <w:lang w:val="fr-FR"/>
        </w:rPr>
        <w:t>25</w:t>
      </w:r>
      <w:r>
        <w:rPr>
          <w:lang w:val="fr-FR"/>
        </w:rPr>
        <w:fldChar w:fldCharType="end"/>
      </w:r>
      <w:r w:rsidR="00E77CB3" w:rsidRPr="001F576E">
        <w:rPr>
          <w:lang w:val="fr-FR"/>
        </w:rPr>
        <w:t xml:space="preserve">.  Le Gouvernement </w:t>
      </w:r>
      <w:r w:rsidR="00600F74">
        <w:rPr>
          <w:lang w:val="fr-FR"/>
        </w:rPr>
        <w:t>conteste cette thèse</w:t>
      </w:r>
      <w:r w:rsidR="00E77CB3" w:rsidRPr="001F576E">
        <w:rPr>
          <w:lang w:val="fr-FR"/>
        </w:rPr>
        <w:t>.</w:t>
      </w:r>
    </w:p>
    <w:p w:rsidR="00E77CB3" w:rsidRPr="001F576E" w:rsidRDefault="00E77CB3" w:rsidP="00E77CB3">
      <w:pPr>
        <w:pStyle w:val="ECHRHeading2"/>
        <w:outlineLvl w:val="0"/>
        <w:rPr>
          <w:lang w:val="fr-FR"/>
        </w:rPr>
      </w:pPr>
      <w:r w:rsidRPr="001F576E">
        <w:rPr>
          <w:lang w:val="fr-FR"/>
        </w:rPr>
        <w:lastRenderedPageBreak/>
        <w:t>A.  Sur la recevabilité</w:t>
      </w:r>
    </w:p>
    <w:p w:rsidR="00E77CB3" w:rsidRPr="001F576E" w:rsidRDefault="00EA77AE" w:rsidP="00C63990">
      <w:pPr>
        <w:pStyle w:val="ECHRPara"/>
        <w:rPr>
          <w:lang w:val="fr-FR"/>
        </w:rPr>
      </w:pPr>
      <w:r>
        <w:rPr>
          <w:lang w:val="fr-FR"/>
        </w:rPr>
        <w:fldChar w:fldCharType="begin"/>
      </w:r>
      <w:r>
        <w:rPr>
          <w:lang w:val="fr-FR"/>
        </w:rPr>
        <w:instrText xml:space="preserve"> SEQ level0 \*arabic </w:instrText>
      </w:r>
      <w:r>
        <w:rPr>
          <w:lang w:val="fr-FR"/>
        </w:rPr>
        <w:fldChar w:fldCharType="separate"/>
      </w:r>
      <w:r w:rsidR="0096090F">
        <w:rPr>
          <w:noProof/>
          <w:lang w:val="fr-FR"/>
        </w:rPr>
        <w:t>26</w:t>
      </w:r>
      <w:r>
        <w:rPr>
          <w:lang w:val="fr-FR"/>
        </w:rPr>
        <w:fldChar w:fldCharType="end"/>
      </w:r>
      <w:r>
        <w:rPr>
          <w:lang w:val="fr-FR"/>
        </w:rPr>
        <w:t>.  </w:t>
      </w:r>
      <w:r w:rsidR="00E77CB3" w:rsidRPr="001F576E">
        <w:rPr>
          <w:lang w:val="fr-FR"/>
        </w:rPr>
        <w:t xml:space="preserve">La Cour constate que </w:t>
      </w:r>
      <w:r w:rsidR="00863E96" w:rsidRPr="001F576E">
        <w:rPr>
          <w:lang w:val="fr-FR"/>
        </w:rPr>
        <w:t>la requête</w:t>
      </w:r>
      <w:r>
        <w:rPr>
          <w:lang w:val="fr-FR"/>
        </w:rPr>
        <w:t xml:space="preserve"> </w:t>
      </w:r>
      <w:r w:rsidR="00E77CB3" w:rsidRPr="001F576E">
        <w:rPr>
          <w:lang w:val="fr-FR"/>
        </w:rPr>
        <w:t>n</w:t>
      </w:r>
      <w:r w:rsidR="00E91700">
        <w:rPr>
          <w:lang w:val="fr-FR"/>
        </w:rPr>
        <w:t>’</w:t>
      </w:r>
      <w:r w:rsidR="00E77CB3" w:rsidRPr="001F576E">
        <w:rPr>
          <w:lang w:val="fr-FR"/>
        </w:rPr>
        <w:t>est pas manifestement mal fondée au sens de l</w:t>
      </w:r>
      <w:r w:rsidR="00E91700">
        <w:rPr>
          <w:lang w:val="fr-FR"/>
        </w:rPr>
        <w:t>’</w:t>
      </w:r>
      <w:r w:rsidR="00E77CB3" w:rsidRPr="001F576E">
        <w:rPr>
          <w:lang w:val="fr-FR"/>
        </w:rPr>
        <w:t>article</w:t>
      </w:r>
      <w:r w:rsidR="005D0E24">
        <w:rPr>
          <w:lang w:val="fr-FR"/>
        </w:rPr>
        <w:t> </w:t>
      </w:r>
      <w:r w:rsidR="00E77CB3" w:rsidRPr="001F576E">
        <w:rPr>
          <w:lang w:val="fr-FR"/>
        </w:rPr>
        <w:t>35 § 3 a) de la Convention</w:t>
      </w:r>
      <w:r w:rsidR="00694A2E" w:rsidRPr="001F576E">
        <w:rPr>
          <w:lang w:val="fr-FR"/>
        </w:rPr>
        <w:t xml:space="preserve"> et qu</w:t>
      </w:r>
      <w:r w:rsidR="00E91700">
        <w:rPr>
          <w:lang w:val="fr-FR"/>
        </w:rPr>
        <w:t>’</w:t>
      </w:r>
      <w:r w:rsidR="00694A2E" w:rsidRPr="001F576E">
        <w:rPr>
          <w:lang w:val="fr-FR"/>
        </w:rPr>
        <w:t xml:space="preserve">elle ne se heurte par ailleurs </w:t>
      </w:r>
      <w:r w:rsidR="00E77CB3" w:rsidRPr="001F576E">
        <w:rPr>
          <w:lang w:val="fr-FR"/>
        </w:rPr>
        <w:t>à aucun autre motif d</w:t>
      </w:r>
      <w:r w:rsidR="00E91700">
        <w:rPr>
          <w:lang w:val="fr-FR"/>
        </w:rPr>
        <w:t>’</w:t>
      </w:r>
      <w:r w:rsidR="00E77CB3" w:rsidRPr="001F576E">
        <w:rPr>
          <w:lang w:val="fr-FR"/>
        </w:rPr>
        <w:t>irrecevabilité</w:t>
      </w:r>
      <w:r>
        <w:rPr>
          <w:lang w:val="fr-FR"/>
        </w:rPr>
        <w:t>.</w:t>
      </w:r>
      <w:r w:rsidR="000F00EF" w:rsidRPr="001F576E">
        <w:rPr>
          <w:lang w:val="fr-FR"/>
        </w:rPr>
        <w:t xml:space="preserve"> </w:t>
      </w:r>
      <w:r>
        <w:rPr>
          <w:lang w:val="fr-FR"/>
        </w:rPr>
        <w:t xml:space="preserve">Il convient donc de </w:t>
      </w:r>
      <w:r w:rsidR="000F00EF" w:rsidRPr="001F576E">
        <w:rPr>
          <w:lang w:val="fr-FR"/>
        </w:rPr>
        <w:t>la déclare</w:t>
      </w:r>
      <w:r>
        <w:rPr>
          <w:lang w:val="fr-FR"/>
        </w:rPr>
        <w:t>r</w:t>
      </w:r>
      <w:r w:rsidR="000F00EF" w:rsidRPr="001F576E">
        <w:rPr>
          <w:lang w:val="fr-FR"/>
        </w:rPr>
        <w:t xml:space="preserve"> recevable</w:t>
      </w:r>
      <w:r w:rsidR="00E77CB3" w:rsidRPr="001F576E">
        <w:rPr>
          <w:lang w:val="fr-FR"/>
        </w:rPr>
        <w:t>.</w:t>
      </w:r>
    </w:p>
    <w:p w:rsidR="00E77CB3" w:rsidRDefault="00E77CB3" w:rsidP="00E77CB3">
      <w:pPr>
        <w:pStyle w:val="ECHRHeading2"/>
        <w:outlineLvl w:val="0"/>
        <w:rPr>
          <w:lang w:val="fr-FR"/>
        </w:rPr>
      </w:pPr>
      <w:r w:rsidRPr="001F576E">
        <w:rPr>
          <w:lang w:val="fr-FR"/>
        </w:rPr>
        <w:t>B.  Sur le fond</w:t>
      </w:r>
    </w:p>
    <w:p w:rsidR="003D6314" w:rsidRPr="00FC71C0" w:rsidRDefault="003D6314" w:rsidP="003D6314">
      <w:pPr>
        <w:pStyle w:val="ECHRHeading3"/>
        <w:rPr>
          <w:lang w:val="fr-FR" w:eastAsia="en-GB"/>
        </w:rPr>
      </w:pPr>
      <w:r w:rsidRPr="00FC71C0">
        <w:rPr>
          <w:lang w:val="fr-FR" w:eastAsia="en-GB"/>
        </w:rPr>
        <w:t>1.  Thèses des parties</w:t>
      </w:r>
    </w:p>
    <w:p w:rsidR="003D6314" w:rsidRPr="00FC71C0" w:rsidRDefault="003D6314" w:rsidP="003D6314">
      <w:pPr>
        <w:pStyle w:val="ECHRHeading4"/>
        <w:rPr>
          <w:lang w:val="fr-FR"/>
        </w:rPr>
      </w:pPr>
      <w:r>
        <w:rPr>
          <w:lang w:val="fr-FR"/>
        </w:rPr>
        <w:t>a)</w:t>
      </w:r>
      <w:r w:rsidR="002D37D2">
        <w:rPr>
          <w:lang w:val="fr-FR"/>
        </w:rPr>
        <w:t>  </w:t>
      </w:r>
      <w:r>
        <w:rPr>
          <w:lang w:val="fr-FR"/>
        </w:rPr>
        <w:t>La</w:t>
      </w:r>
      <w:r w:rsidRPr="00FC71C0">
        <w:rPr>
          <w:lang w:val="fr-FR"/>
        </w:rPr>
        <w:t xml:space="preserve"> requérant</w:t>
      </w:r>
      <w:r>
        <w:rPr>
          <w:lang w:val="fr-FR"/>
        </w:rPr>
        <w:t>e</w:t>
      </w:r>
    </w:p>
    <w:p w:rsidR="004C1EAE" w:rsidRDefault="00863E96" w:rsidP="00C63990">
      <w:pPr>
        <w:pStyle w:val="ECHRPara"/>
        <w:rPr>
          <w:lang w:val="fr-FR"/>
        </w:rPr>
      </w:pPr>
      <w:r>
        <w:rPr>
          <w:lang w:val="fr-FR"/>
        </w:rPr>
        <w:fldChar w:fldCharType="begin"/>
      </w:r>
      <w:r>
        <w:rPr>
          <w:lang w:val="fr-FR"/>
        </w:rPr>
        <w:instrText xml:space="preserve"> SEQ level0 \*arabic </w:instrText>
      </w:r>
      <w:r>
        <w:rPr>
          <w:lang w:val="fr-FR"/>
        </w:rPr>
        <w:fldChar w:fldCharType="separate"/>
      </w:r>
      <w:r w:rsidR="0096090F">
        <w:rPr>
          <w:noProof/>
          <w:lang w:val="fr-FR"/>
        </w:rPr>
        <w:t>27</w:t>
      </w:r>
      <w:r>
        <w:rPr>
          <w:lang w:val="fr-FR"/>
        </w:rPr>
        <w:fldChar w:fldCharType="end"/>
      </w:r>
      <w:r w:rsidR="00E77CB3" w:rsidRPr="001F576E">
        <w:rPr>
          <w:lang w:val="fr-FR"/>
        </w:rPr>
        <w:t>.  </w:t>
      </w:r>
      <w:r w:rsidR="00231183">
        <w:rPr>
          <w:lang w:val="fr-FR"/>
        </w:rPr>
        <w:t>La requérante souligne tout d</w:t>
      </w:r>
      <w:r w:rsidR="00E91700">
        <w:rPr>
          <w:lang w:val="fr-FR"/>
        </w:rPr>
        <w:t>’</w:t>
      </w:r>
      <w:r w:rsidR="00231183">
        <w:rPr>
          <w:lang w:val="fr-FR"/>
        </w:rPr>
        <w:t>abord que les conditions prévues par la loi pour déclarer l</w:t>
      </w:r>
      <w:r w:rsidR="00E91700">
        <w:rPr>
          <w:lang w:val="fr-FR"/>
        </w:rPr>
        <w:t>’</w:t>
      </w:r>
      <w:r w:rsidR="00231183">
        <w:rPr>
          <w:lang w:val="fr-FR"/>
        </w:rPr>
        <w:t>adoptabilité de ses enfants n</w:t>
      </w:r>
      <w:r w:rsidR="00E91700">
        <w:rPr>
          <w:lang w:val="fr-FR"/>
        </w:rPr>
        <w:t>’</w:t>
      </w:r>
      <w:r w:rsidR="00231183">
        <w:rPr>
          <w:lang w:val="fr-FR"/>
        </w:rPr>
        <w:t>étaient pas remplies en l</w:t>
      </w:r>
      <w:r w:rsidR="00E91700">
        <w:rPr>
          <w:lang w:val="fr-FR"/>
        </w:rPr>
        <w:t>’</w:t>
      </w:r>
      <w:r w:rsidR="00231183">
        <w:rPr>
          <w:lang w:val="fr-FR"/>
        </w:rPr>
        <w:t>espèce.</w:t>
      </w:r>
      <w:r w:rsidR="00E42225">
        <w:rPr>
          <w:lang w:val="fr-FR"/>
        </w:rPr>
        <w:t xml:space="preserve"> </w:t>
      </w:r>
      <w:r w:rsidR="00231183">
        <w:rPr>
          <w:lang w:val="fr-FR"/>
        </w:rPr>
        <w:t xml:space="preserve">Elle observe à ce propos que les juridictions internes ont </w:t>
      </w:r>
      <w:r w:rsidR="00A14125">
        <w:rPr>
          <w:lang w:val="fr-FR"/>
        </w:rPr>
        <w:t xml:space="preserve">surtout </w:t>
      </w:r>
      <w:r w:rsidR="00231183">
        <w:rPr>
          <w:lang w:val="fr-FR"/>
        </w:rPr>
        <w:t xml:space="preserve">fondé la </w:t>
      </w:r>
      <w:r w:rsidR="00827E69">
        <w:rPr>
          <w:lang w:val="fr-FR"/>
        </w:rPr>
        <w:t>déclaration</w:t>
      </w:r>
      <w:r w:rsidR="00231183">
        <w:rPr>
          <w:lang w:val="fr-FR"/>
        </w:rPr>
        <w:t xml:space="preserve"> d</w:t>
      </w:r>
      <w:r w:rsidR="00E91700">
        <w:rPr>
          <w:lang w:val="fr-FR"/>
        </w:rPr>
        <w:t>’</w:t>
      </w:r>
      <w:r w:rsidR="00231183">
        <w:rPr>
          <w:lang w:val="fr-FR"/>
        </w:rPr>
        <w:t>adoptabilité sur sa maladie et sur l</w:t>
      </w:r>
      <w:r w:rsidR="00E91700">
        <w:rPr>
          <w:lang w:val="fr-FR"/>
        </w:rPr>
        <w:t>’</w:t>
      </w:r>
      <w:r w:rsidR="00231183">
        <w:rPr>
          <w:lang w:val="fr-FR"/>
        </w:rPr>
        <w:t>interruption de la cohabitation entre les deux parents.</w:t>
      </w:r>
    </w:p>
    <w:p w:rsidR="00231183" w:rsidRDefault="005E6791" w:rsidP="00C63990">
      <w:pPr>
        <w:pStyle w:val="ECHRPara"/>
        <w:rPr>
          <w:lang w:val="fr-FR"/>
        </w:rPr>
      </w:pPr>
      <w:r>
        <w:rPr>
          <w:lang w:val="fr-FR"/>
        </w:rPr>
        <w:t>Considérant que ces</w:t>
      </w:r>
      <w:r w:rsidR="00231183">
        <w:rPr>
          <w:lang w:val="fr-FR"/>
        </w:rPr>
        <w:t xml:space="preserve"> difficultés familiales</w:t>
      </w:r>
      <w:r w:rsidR="00667EEA">
        <w:rPr>
          <w:lang w:val="fr-FR"/>
        </w:rPr>
        <w:t xml:space="preserve"> </w:t>
      </w:r>
      <w:r>
        <w:rPr>
          <w:lang w:val="fr-FR"/>
        </w:rPr>
        <w:t>ne présentaient qu</w:t>
      </w:r>
      <w:r w:rsidR="00E91700">
        <w:rPr>
          <w:lang w:val="fr-FR"/>
        </w:rPr>
        <w:t>’</w:t>
      </w:r>
      <w:r>
        <w:rPr>
          <w:lang w:val="fr-FR"/>
        </w:rPr>
        <w:t xml:space="preserve">un caractère </w:t>
      </w:r>
      <w:r w:rsidR="00667EEA">
        <w:rPr>
          <w:lang w:val="fr-FR"/>
        </w:rPr>
        <w:t>temporaire</w:t>
      </w:r>
      <w:r w:rsidR="00231183">
        <w:rPr>
          <w:lang w:val="fr-FR"/>
        </w:rPr>
        <w:t xml:space="preserve">, </w:t>
      </w:r>
      <w:r w:rsidR="00E42225">
        <w:rPr>
          <w:lang w:val="fr-FR"/>
        </w:rPr>
        <w:t>la requérante</w:t>
      </w:r>
      <w:r>
        <w:rPr>
          <w:lang w:val="fr-FR"/>
        </w:rPr>
        <w:t xml:space="preserve"> estime qu</w:t>
      </w:r>
      <w:r w:rsidR="00E91700">
        <w:rPr>
          <w:lang w:val="fr-FR"/>
        </w:rPr>
        <w:t>’</w:t>
      </w:r>
      <w:r>
        <w:rPr>
          <w:lang w:val="fr-FR"/>
        </w:rPr>
        <w:t xml:space="preserve">en </w:t>
      </w:r>
      <w:r w:rsidR="00FE7E1F">
        <w:rPr>
          <w:lang w:val="fr-FR"/>
        </w:rPr>
        <w:t xml:space="preserve">préférant couper le </w:t>
      </w:r>
      <w:r w:rsidR="00231183" w:rsidRPr="00231183">
        <w:rPr>
          <w:lang w:val="fr-FR"/>
        </w:rPr>
        <w:t>lien de filiation maternelle</w:t>
      </w:r>
      <w:r w:rsidR="00231183">
        <w:rPr>
          <w:lang w:val="fr-FR"/>
        </w:rPr>
        <w:t xml:space="preserve"> </w:t>
      </w:r>
      <w:r w:rsidR="00FB5152">
        <w:rPr>
          <w:lang w:val="fr-FR"/>
        </w:rPr>
        <w:t>plutôt que prendre l</w:t>
      </w:r>
      <w:r w:rsidR="00231183" w:rsidRPr="00231183">
        <w:rPr>
          <w:lang w:val="fr-FR"/>
        </w:rPr>
        <w:t>es mesures</w:t>
      </w:r>
      <w:r w:rsidR="00231183">
        <w:rPr>
          <w:lang w:val="fr-FR"/>
        </w:rPr>
        <w:t xml:space="preserve"> nécessaires pour</w:t>
      </w:r>
      <w:r w:rsidR="00231183" w:rsidRPr="00231183">
        <w:rPr>
          <w:lang w:val="fr-FR"/>
        </w:rPr>
        <w:t xml:space="preserve"> </w:t>
      </w:r>
      <w:r w:rsidR="00827E69">
        <w:rPr>
          <w:lang w:val="fr-FR"/>
        </w:rPr>
        <w:t xml:space="preserve">la </w:t>
      </w:r>
      <w:r>
        <w:rPr>
          <w:lang w:val="fr-FR"/>
        </w:rPr>
        <w:t xml:space="preserve">soutenir </w:t>
      </w:r>
      <w:r w:rsidR="00FB5152">
        <w:rPr>
          <w:lang w:val="fr-FR"/>
        </w:rPr>
        <w:t xml:space="preserve">et </w:t>
      </w:r>
      <w:r w:rsidR="00827E69">
        <w:rPr>
          <w:lang w:val="fr-FR"/>
        </w:rPr>
        <w:t>l</w:t>
      </w:r>
      <w:r w:rsidR="00E91700">
        <w:rPr>
          <w:lang w:val="fr-FR"/>
        </w:rPr>
        <w:t>’</w:t>
      </w:r>
      <w:r w:rsidR="00FB5152">
        <w:rPr>
          <w:lang w:val="fr-FR"/>
        </w:rPr>
        <w:t>aider</w:t>
      </w:r>
      <w:r w:rsidR="00FE7E1F">
        <w:rPr>
          <w:lang w:val="fr-FR"/>
        </w:rPr>
        <w:t xml:space="preserve">, </w:t>
      </w:r>
      <w:r w:rsidR="00FE7E1F" w:rsidRPr="00FE7E1F">
        <w:rPr>
          <w:lang w:val="fr-FR"/>
        </w:rPr>
        <w:t>les juridictions internes</w:t>
      </w:r>
      <w:r w:rsidR="00FE7E1F">
        <w:rPr>
          <w:lang w:val="fr-FR"/>
        </w:rPr>
        <w:t xml:space="preserve"> ont méconnu les</w:t>
      </w:r>
      <w:r w:rsidR="00FE7E1F" w:rsidRPr="00FE7E1F">
        <w:rPr>
          <w:lang w:val="fr-FR"/>
        </w:rPr>
        <w:t xml:space="preserve"> obligations positives découlant de la Convention</w:t>
      </w:r>
      <w:r w:rsidR="00FB5152">
        <w:rPr>
          <w:lang w:val="fr-FR"/>
        </w:rPr>
        <w:t>.</w:t>
      </w:r>
    </w:p>
    <w:p w:rsidR="00C31CD3" w:rsidRDefault="00FB5152" w:rsidP="00FB5152">
      <w:pPr>
        <w:pStyle w:val="ECHRPara"/>
        <w:rPr>
          <w:lang w:val="fr-FR"/>
        </w:rPr>
      </w:pPr>
      <w:r>
        <w:rPr>
          <w:lang w:val="fr-FR"/>
        </w:rPr>
        <w:fldChar w:fldCharType="begin"/>
      </w:r>
      <w:r>
        <w:rPr>
          <w:lang w:val="fr-FR"/>
        </w:rPr>
        <w:instrText xml:space="preserve"> SEQ level0 \*arabic </w:instrText>
      </w:r>
      <w:r>
        <w:rPr>
          <w:lang w:val="fr-FR"/>
        </w:rPr>
        <w:fldChar w:fldCharType="separate"/>
      </w:r>
      <w:r w:rsidR="0096090F">
        <w:rPr>
          <w:noProof/>
          <w:lang w:val="fr-FR"/>
        </w:rPr>
        <w:t>28</w:t>
      </w:r>
      <w:r>
        <w:rPr>
          <w:lang w:val="fr-FR"/>
        </w:rPr>
        <w:fldChar w:fldCharType="end"/>
      </w:r>
      <w:r>
        <w:rPr>
          <w:lang w:val="fr-FR"/>
        </w:rPr>
        <w:t xml:space="preserve">.  La requérante </w:t>
      </w:r>
      <w:r w:rsidR="00E42225">
        <w:rPr>
          <w:lang w:val="fr-FR"/>
        </w:rPr>
        <w:t xml:space="preserve">fait </w:t>
      </w:r>
      <w:proofErr w:type="gramStart"/>
      <w:r>
        <w:rPr>
          <w:lang w:val="fr-FR"/>
        </w:rPr>
        <w:t>observe</w:t>
      </w:r>
      <w:r w:rsidR="00E42225">
        <w:rPr>
          <w:lang w:val="fr-FR"/>
        </w:rPr>
        <w:t>r</w:t>
      </w:r>
      <w:proofErr w:type="gramEnd"/>
      <w:r>
        <w:rPr>
          <w:lang w:val="fr-FR"/>
        </w:rPr>
        <w:t xml:space="preserve"> que si un parcours de soutien fut </w:t>
      </w:r>
      <w:r w:rsidR="004C1EAE">
        <w:rPr>
          <w:lang w:val="fr-FR"/>
        </w:rPr>
        <w:t xml:space="preserve">initialement </w:t>
      </w:r>
      <w:r>
        <w:rPr>
          <w:lang w:val="fr-FR"/>
        </w:rPr>
        <w:t>mis en place</w:t>
      </w:r>
      <w:r w:rsidR="00C742A4">
        <w:rPr>
          <w:lang w:val="fr-FR"/>
        </w:rPr>
        <w:t>,</w:t>
      </w:r>
      <w:r>
        <w:rPr>
          <w:lang w:val="fr-FR"/>
        </w:rPr>
        <w:t xml:space="preserve"> il a </w:t>
      </w:r>
      <w:r w:rsidR="00C742A4">
        <w:rPr>
          <w:lang w:val="fr-FR"/>
        </w:rPr>
        <w:t>toutefois</w:t>
      </w:r>
      <w:r w:rsidR="00E42225">
        <w:rPr>
          <w:lang w:val="fr-FR"/>
        </w:rPr>
        <w:t xml:space="preserve"> </w:t>
      </w:r>
      <w:r w:rsidR="00E42225" w:rsidRPr="00E42225">
        <w:rPr>
          <w:lang w:val="fr-FR"/>
        </w:rPr>
        <w:t>été</w:t>
      </w:r>
      <w:r>
        <w:rPr>
          <w:lang w:val="fr-FR"/>
        </w:rPr>
        <w:t xml:space="preserve"> interrompu à cause de l</w:t>
      </w:r>
      <w:r w:rsidR="00E91700">
        <w:rPr>
          <w:lang w:val="fr-FR"/>
        </w:rPr>
        <w:t>’</w:t>
      </w:r>
      <w:r>
        <w:rPr>
          <w:lang w:val="fr-FR"/>
        </w:rPr>
        <w:t>aggravation de son état de santé.</w:t>
      </w:r>
      <w:r w:rsidR="00E42225">
        <w:rPr>
          <w:lang w:val="fr-FR"/>
        </w:rPr>
        <w:t xml:space="preserve"> </w:t>
      </w:r>
      <w:r w:rsidR="004919E1">
        <w:rPr>
          <w:lang w:val="fr-FR"/>
        </w:rPr>
        <w:t xml:space="preserve">Elle souligne que </w:t>
      </w:r>
      <w:r w:rsidR="00E42225">
        <w:rPr>
          <w:lang w:val="fr-FR"/>
        </w:rPr>
        <w:t xml:space="preserve">cette </w:t>
      </w:r>
      <w:r w:rsidR="00915B92">
        <w:rPr>
          <w:lang w:val="fr-FR"/>
        </w:rPr>
        <w:t>aggravation</w:t>
      </w:r>
      <w:r w:rsidR="00E42225">
        <w:rPr>
          <w:lang w:val="fr-FR"/>
        </w:rPr>
        <w:t xml:space="preserve"> n</w:t>
      </w:r>
      <w:r w:rsidR="00E91700">
        <w:rPr>
          <w:lang w:val="fr-FR"/>
        </w:rPr>
        <w:t>’</w:t>
      </w:r>
      <w:r>
        <w:rPr>
          <w:lang w:val="fr-FR"/>
        </w:rPr>
        <w:t xml:space="preserve">avait </w:t>
      </w:r>
      <w:r w:rsidR="00E42225">
        <w:rPr>
          <w:lang w:val="fr-FR"/>
        </w:rPr>
        <w:t>qu</w:t>
      </w:r>
      <w:r w:rsidR="00E91700">
        <w:rPr>
          <w:lang w:val="fr-FR"/>
        </w:rPr>
        <w:t>’</w:t>
      </w:r>
      <w:r w:rsidR="00915B92">
        <w:rPr>
          <w:lang w:val="fr-FR"/>
        </w:rPr>
        <w:t xml:space="preserve">un </w:t>
      </w:r>
      <w:r>
        <w:rPr>
          <w:lang w:val="fr-FR"/>
        </w:rPr>
        <w:t>caractère temporaire</w:t>
      </w:r>
      <w:r w:rsidR="00E42225">
        <w:rPr>
          <w:lang w:val="fr-FR"/>
        </w:rPr>
        <w:t> </w:t>
      </w:r>
      <w:r w:rsidR="004919E1">
        <w:rPr>
          <w:lang w:val="fr-FR"/>
        </w:rPr>
        <w:t xml:space="preserve"> et</w:t>
      </w:r>
      <w:r w:rsidR="00E42225">
        <w:rPr>
          <w:lang w:val="fr-FR"/>
        </w:rPr>
        <w:t xml:space="preserve"> p</w:t>
      </w:r>
      <w:r w:rsidR="004C1EAE">
        <w:rPr>
          <w:lang w:val="fr-FR"/>
        </w:rPr>
        <w:t>artant ne pouvait</w:t>
      </w:r>
      <w:r w:rsidR="004919E1">
        <w:rPr>
          <w:lang w:val="fr-FR"/>
        </w:rPr>
        <w:t xml:space="preserve"> pas </w:t>
      </w:r>
      <w:r w:rsidR="004C1EAE">
        <w:rPr>
          <w:lang w:val="fr-FR"/>
        </w:rPr>
        <w:t xml:space="preserve">justifier la cessation </w:t>
      </w:r>
      <w:r>
        <w:rPr>
          <w:lang w:val="fr-FR"/>
        </w:rPr>
        <w:t>définitive de toute tentative de sauvegarde</w:t>
      </w:r>
      <w:r w:rsidR="00535F9E">
        <w:rPr>
          <w:lang w:val="fr-FR"/>
        </w:rPr>
        <w:t>r</w:t>
      </w:r>
      <w:r w:rsidR="00C742A4">
        <w:rPr>
          <w:lang w:val="fr-FR"/>
        </w:rPr>
        <w:t xml:space="preserve"> le</w:t>
      </w:r>
      <w:r>
        <w:rPr>
          <w:lang w:val="fr-FR"/>
        </w:rPr>
        <w:t xml:space="preserve"> lien familial.</w:t>
      </w:r>
    </w:p>
    <w:p w:rsidR="001667E8" w:rsidRDefault="00FB5152" w:rsidP="00FB5152">
      <w:pPr>
        <w:pStyle w:val="ECHRPara"/>
        <w:rPr>
          <w:lang w:val="fr-FR"/>
        </w:rPr>
      </w:pPr>
      <w:r>
        <w:rPr>
          <w:lang w:val="fr-FR"/>
        </w:rPr>
        <w:fldChar w:fldCharType="begin"/>
      </w:r>
      <w:r>
        <w:rPr>
          <w:lang w:val="fr-FR"/>
        </w:rPr>
        <w:instrText xml:space="preserve"> SEQ level0 \*arabic </w:instrText>
      </w:r>
      <w:r>
        <w:rPr>
          <w:lang w:val="fr-FR"/>
        </w:rPr>
        <w:fldChar w:fldCharType="separate"/>
      </w:r>
      <w:r w:rsidR="0096090F">
        <w:rPr>
          <w:noProof/>
          <w:lang w:val="fr-FR"/>
        </w:rPr>
        <w:t>29</w:t>
      </w:r>
      <w:r>
        <w:rPr>
          <w:lang w:val="fr-FR"/>
        </w:rPr>
        <w:fldChar w:fldCharType="end"/>
      </w:r>
      <w:r>
        <w:rPr>
          <w:lang w:val="fr-FR"/>
        </w:rPr>
        <w:t xml:space="preserve">.  La requérante </w:t>
      </w:r>
      <w:r w:rsidR="00171C7B">
        <w:rPr>
          <w:lang w:val="fr-FR"/>
        </w:rPr>
        <w:t xml:space="preserve">rappelle </w:t>
      </w:r>
      <w:r w:rsidR="007D557A">
        <w:rPr>
          <w:lang w:val="fr-FR"/>
        </w:rPr>
        <w:t>qu</w:t>
      </w:r>
      <w:r w:rsidR="00E91700">
        <w:rPr>
          <w:lang w:val="fr-FR"/>
        </w:rPr>
        <w:t>’</w:t>
      </w:r>
      <w:r w:rsidR="007D557A">
        <w:rPr>
          <w:lang w:val="fr-FR"/>
        </w:rPr>
        <w:t>elle était consciente des difficultés</w:t>
      </w:r>
      <w:r w:rsidR="00171C7B">
        <w:rPr>
          <w:lang w:val="fr-FR"/>
        </w:rPr>
        <w:t xml:space="preserve"> </w:t>
      </w:r>
      <w:r w:rsidR="007D557A">
        <w:rPr>
          <w:lang w:val="fr-FR"/>
        </w:rPr>
        <w:t>engendrées par sa maladie</w:t>
      </w:r>
      <w:r w:rsidR="004A2AED">
        <w:rPr>
          <w:lang w:val="fr-FR"/>
        </w:rPr>
        <w:t xml:space="preserve"> </w:t>
      </w:r>
      <w:r w:rsidR="007D557A">
        <w:rPr>
          <w:lang w:val="fr-FR"/>
        </w:rPr>
        <w:t>et souligne qu</w:t>
      </w:r>
      <w:r w:rsidR="00E91700">
        <w:rPr>
          <w:lang w:val="fr-FR"/>
        </w:rPr>
        <w:t>’</w:t>
      </w:r>
      <w:r w:rsidR="007D557A">
        <w:rPr>
          <w:lang w:val="fr-FR"/>
        </w:rPr>
        <w:t xml:space="preserve">elle </w:t>
      </w:r>
      <w:r w:rsidR="00171C7B">
        <w:rPr>
          <w:lang w:val="fr-FR"/>
        </w:rPr>
        <w:t>avait suivi un parcours thérapeutique et demandé</w:t>
      </w:r>
      <w:r w:rsidR="00612458">
        <w:rPr>
          <w:lang w:val="fr-FR"/>
        </w:rPr>
        <w:t>, à plusieurs reprises,</w:t>
      </w:r>
      <w:r w:rsidR="00171C7B">
        <w:rPr>
          <w:lang w:val="fr-FR"/>
        </w:rPr>
        <w:t xml:space="preserve"> aux services sociaux et aux autorités compétentes</w:t>
      </w:r>
      <w:r w:rsidR="007D557A">
        <w:rPr>
          <w:lang w:val="fr-FR"/>
        </w:rPr>
        <w:t xml:space="preserve"> un soutien et un accompagnement pour satisfaire au mieux les besoins des enfants</w:t>
      </w:r>
      <w:r w:rsidR="00171C7B">
        <w:rPr>
          <w:lang w:val="fr-FR"/>
        </w:rPr>
        <w:t>.</w:t>
      </w:r>
    </w:p>
    <w:p w:rsidR="00FB5152" w:rsidRPr="00667EEA" w:rsidRDefault="00171C7B" w:rsidP="00FB5152">
      <w:pPr>
        <w:pStyle w:val="ECHRPara"/>
        <w:rPr>
          <w:i/>
          <w:lang w:val="fr-FR"/>
        </w:rPr>
      </w:pPr>
      <w:r>
        <w:rPr>
          <w:lang w:val="fr-FR"/>
        </w:rPr>
        <w:t xml:space="preserve">Elle </w:t>
      </w:r>
      <w:r w:rsidR="001667E8">
        <w:rPr>
          <w:lang w:val="fr-FR"/>
        </w:rPr>
        <w:t xml:space="preserve">considère </w:t>
      </w:r>
      <w:r w:rsidR="00667EEA">
        <w:rPr>
          <w:lang w:val="fr-FR"/>
        </w:rPr>
        <w:t xml:space="preserve">que </w:t>
      </w:r>
      <w:r>
        <w:rPr>
          <w:lang w:val="fr-FR"/>
        </w:rPr>
        <w:t>la situation de difficulté d</w:t>
      </w:r>
      <w:r w:rsidR="00E91700">
        <w:rPr>
          <w:lang w:val="fr-FR"/>
        </w:rPr>
        <w:t>’</w:t>
      </w:r>
      <w:r>
        <w:rPr>
          <w:lang w:val="fr-FR"/>
        </w:rPr>
        <w:t xml:space="preserve">un parent ne peut </w:t>
      </w:r>
      <w:r w:rsidR="001667E8">
        <w:rPr>
          <w:lang w:val="fr-FR"/>
        </w:rPr>
        <w:t>suffire</w:t>
      </w:r>
      <w:r w:rsidR="001667E8" w:rsidRPr="001667E8">
        <w:rPr>
          <w:lang w:val="fr-FR"/>
        </w:rPr>
        <w:t xml:space="preserve">, en soi, </w:t>
      </w:r>
      <w:r w:rsidR="001667E8">
        <w:rPr>
          <w:lang w:val="fr-FR"/>
        </w:rPr>
        <w:t xml:space="preserve">à </w:t>
      </w:r>
      <w:r>
        <w:rPr>
          <w:lang w:val="fr-FR"/>
        </w:rPr>
        <w:t>justifier</w:t>
      </w:r>
      <w:r w:rsidR="001667E8">
        <w:rPr>
          <w:lang w:val="fr-FR"/>
        </w:rPr>
        <w:t xml:space="preserve"> </w:t>
      </w:r>
      <w:r>
        <w:rPr>
          <w:lang w:val="fr-FR"/>
        </w:rPr>
        <w:t>la rupture des liens parent-enfant mais impose à l</w:t>
      </w:r>
      <w:r w:rsidR="00E91700">
        <w:rPr>
          <w:lang w:val="fr-FR"/>
        </w:rPr>
        <w:t>’</w:t>
      </w:r>
      <w:r w:rsidR="004C557C">
        <w:rPr>
          <w:lang w:val="fr-FR"/>
        </w:rPr>
        <w:t>État</w:t>
      </w:r>
      <w:r>
        <w:rPr>
          <w:lang w:val="fr-FR"/>
        </w:rPr>
        <w:t xml:space="preserve"> de prendr</w:t>
      </w:r>
      <w:r w:rsidR="004C557C">
        <w:rPr>
          <w:lang w:val="fr-FR"/>
        </w:rPr>
        <w:t xml:space="preserve">e les mesures nécessaires pour </w:t>
      </w:r>
      <w:r w:rsidR="001667E8">
        <w:rPr>
          <w:lang w:val="fr-FR"/>
        </w:rPr>
        <w:t xml:space="preserve">apporter </w:t>
      </w:r>
      <w:r w:rsidR="004C557C">
        <w:rPr>
          <w:lang w:val="fr-FR"/>
        </w:rPr>
        <w:t>une assistance effective e</w:t>
      </w:r>
      <w:r w:rsidR="00667EEA">
        <w:rPr>
          <w:lang w:val="fr-FR"/>
        </w:rPr>
        <w:t xml:space="preserve">t </w:t>
      </w:r>
      <w:r w:rsidR="00535F9E">
        <w:rPr>
          <w:lang w:val="fr-FR"/>
        </w:rPr>
        <w:t xml:space="preserve">préserver </w:t>
      </w:r>
      <w:r w:rsidR="00667EEA">
        <w:rPr>
          <w:lang w:val="fr-FR"/>
        </w:rPr>
        <w:t>le lien familial.</w:t>
      </w:r>
      <w:r w:rsidR="00667EEA" w:rsidRPr="00667EEA">
        <w:rPr>
          <w:lang w:val="fr-FR"/>
        </w:rPr>
        <w:t xml:space="preserve"> </w:t>
      </w:r>
      <w:r w:rsidR="007023DB">
        <w:rPr>
          <w:lang w:val="fr-FR"/>
        </w:rPr>
        <w:t>À cet égard</w:t>
      </w:r>
      <w:r w:rsidR="00667EEA">
        <w:rPr>
          <w:lang w:val="fr-FR"/>
        </w:rPr>
        <w:t xml:space="preserve">, la requérante se réfère à la jurisprudence </w:t>
      </w:r>
      <w:r w:rsidR="00667EEA" w:rsidRPr="00667EEA">
        <w:rPr>
          <w:i/>
          <w:lang w:val="fr-FR"/>
        </w:rPr>
        <w:t>Zhou c. Italie</w:t>
      </w:r>
      <w:r w:rsidR="00667EEA" w:rsidRPr="00667EEA">
        <w:rPr>
          <w:snapToGrid w:val="0"/>
          <w:lang w:val="fr-FR"/>
        </w:rPr>
        <w:t xml:space="preserve">, </w:t>
      </w:r>
      <w:r w:rsidR="00C7103F">
        <w:rPr>
          <w:lang w:val="fr-FR"/>
        </w:rPr>
        <w:t>précité</w:t>
      </w:r>
      <w:r w:rsidR="00667EEA">
        <w:rPr>
          <w:lang w:val="fr-FR"/>
        </w:rPr>
        <w:t>.</w:t>
      </w:r>
    </w:p>
    <w:p w:rsidR="00C31CD3" w:rsidRDefault="008B2513" w:rsidP="00FB5152">
      <w:pPr>
        <w:pStyle w:val="ECHRPara"/>
        <w:rPr>
          <w:lang w:val="fr-FR"/>
        </w:rPr>
      </w:pPr>
      <w:r>
        <w:rPr>
          <w:lang w:val="fr-FR"/>
        </w:rPr>
        <w:fldChar w:fldCharType="begin"/>
      </w:r>
      <w:r>
        <w:rPr>
          <w:lang w:val="fr-FR"/>
        </w:rPr>
        <w:instrText xml:space="preserve"> SEQ level0 \*arabic </w:instrText>
      </w:r>
      <w:r>
        <w:rPr>
          <w:lang w:val="fr-FR"/>
        </w:rPr>
        <w:fldChar w:fldCharType="separate"/>
      </w:r>
      <w:r w:rsidR="0096090F">
        <w:rPr>
          <w:noProof/>
          <w:lang w:val="fr-FR"/>
        </w:rPr>
        <w:t>30</w:t>
      </w:r>
      <w:r>
        <w:rPr>
          <w:lang w:val="fr-FR"/>
        </w:rPr>
        <w:fldChar w:fldCharType="end"/>
      </w:r>
      <w:r>
        <w:rPr>
          <w:lang w:val="fr-FR"/>
        </w:rPr>
        <w:t xml:space="preserve">.  La requérante </w:t>
      </w:r>
      <w:r w:rsidR="001667E8">
        <w:rPr>
          <w:lang w:val="fr-FR"/>
        </w:rPr>
        <w:t xml:space="preserve">ne conteste pas </w:t>
      </w:r>
      <w:r>
        <w:rPr>
          <w:lang w:val="fr-FR"/>
        </w:rPr>
        <w:t>que les autorités internes jouissent d</w:t>
      </w:r>
      <w:r w:rsidR="00E91700">
        <w:rPr>
          <w:lang w:val="fr-FR"/>
        </w:rPr>
        <w:t>’</w:t>
      </w:r>
      <w:r>
        <w:rPr>
          <w:lang w:val="fr-FR"/>
        </w:rPr>
        <w:t>une large marge d</w:t>
      </w:r>
      <w:r w:rsidR="00E91700">
        <w:rPr>
          <w:lang w:val="fr-FR"/>
        </w:rPr>
        <w:t>’</w:t>
      </w:r>
      <w:r>
        <w:rPr>
          <w:lang w:val="fr-FR"/>
        </w:rPr>
        <w:t xml:space="preserve">appréciation pour déterminer les mesures à prendre pour </w:t>
      </w:r>
      <w:r w:rsidR="00190565">
        <w:rPr>
          <w:lang w:val="fr-FR"/>
        </w:rPr>
        <w:t xml:space="preserve">protéger </w:t>
      </w:r>
      <w:r>
        <w:rPr>
          <w:lang w:val="fr-FR"/>
        </w:rPr>
        <w:t>l</w:t>
      </w:r>
      <w:r w:rsidR="00E91700">
        <w:rPr>
          <w:lang w:val="fr-FR"/>
        </w:rPr>
        <w:t>’</w:t>
      </w:r>
      <w:r>
        <w:rPr>
          <w:lang w:val="fr-FR"/>
        </w:rPr>
        <w:t xml:space="preserve">intérêt supérieur des enfants. Elle </w:t>
      </w:r>
      <w:r w:rsidR="001667E8">
        <w:rPr>
          <w:lang w:val="fr-FR"/>
        </w:rPr>
        <w:t xml:space="preserve">fait </w:t>
      </w:r>
      <w:r>
        <w:rPr>
          <w:lang w:val="fr-FR"/>
        </w:rPr>
        <w:t xml:space="preserve">toutefois </w:t>
      </w:r>
      <w:r w:rsidR="001667E8">
        <w:rPr>
          <w:lang w:val="fr-FR"/>
        </w:rPr>
        <w:t xml:space="preserve">observer </w:t>
      </w:r>
      <w:r w:rsidR="002A26AA">
        <w:rPr>
          <w:lang w:val="fr-FR"/>
        </w:rPr>
        <w:t xml:space="preserve">que </w:t>
      </w:r>
      <w:r w:rsidR="00667EEA">
        <w:rPr>
          <w:lang w:val="fr-FR"/>
        </w:rPr>
        <w:t>l</w:t>
      </w:r>
      <w:r w:rsidR="00E91700">
        <w:rPr>
          <w:lang w:val="fr-FR"/>
        </w:rPr>
        <w:t>’</w:t>
      </w:r>
      <w:r w:rsidR="00667EEA">
        <w:rPr>
          <w:lang w:val="fr-FR"/>
        </w:rPr>
        <w:t xml:space="preserve">éloignement des enfants de leur mère a eu des </w:t>
      </w:r>
      <w:r>
        <w:rPr>
          <w:lang w:val="fr-FR"/>
        </w:rPr>
        <w:t xml:space="preserve">effets </w:t>
      </w:r>
      <w:r w:rsidR="00667EEA">
        <w:rPr>
          <w:lang w:val="fr-FR"/>
        </w:rPr>
        <w:t>négatifs sur leur équilibre psychophysique</w:t>
      </w:r>
      <w:r w:rsidR="004919E1">
        <w:rPr>
          <w:lang w:val="fr-FR"/>
        </w:rPr>
        <w:t xml:space="preserve"> </w:t>
      </w:r>
      <w:r w:rsidR="00F40405">
        <w:rPr>
          <w:lang w:val="fr-FR"/>
        </w:rPr>
        <w:t>et se réfère</w:t>
      </w:r>
      <w:r w:rsidR="00667EEA">
        <w:rPr>
          <w:lang w:val="fr-FR"/>
        </w:rPr>
        <w:t xml:space="preserve"> à ce propos aux rapports </w:t>
      </w:r>
      <w:r>
        <w:rPr>
          <w:lang w:val="fr-FR"/>
        </w:rPr>
        <w:t>des experts</w:t>
      </w:r>
      <w:r w:rsidR="008D5FB3">
        <w:rPr>
          <w:lang w:val="fr-FR"/>
        </w:rPr>
        <w:t xml:space="preserve"> (voir paragraphe</w:t>
      </w:r>
      <w:r w:rsidR="005D0E24">
        <w:rPr>
          <w:lang w:val="fr-FR"/>
        </w:rPr>
        <w:t> </w:t>
      </w:r>
      <w:r w:rsidR="008D5FB3">
        <w:rPr>
          <w:lang w:val="fr-FR"/>
        </w:rPr>
        <w:t>15 ci-dessus)</w:t>
      </w:r>
      <w:r>
        <w:rPr>
          <w:lang w:val="fr-FR"/>
        </w:rPr>
        <w:t>.</w:t>
      </w:r>
    </w:p>
    <w:p w:rsidR="00BC59FF" w:rsidRDefault="00667EEA" w:rsidP="000C4594">
      <w:pPr>
        <w:pStyle w:val="ECHRPara"/>
        <w:rPr>
          <w:lang w:val="fr-FR"/>
        </w:rPr>
      </w:pPr>
      <w:r>
        <w:rPr>
          <w:lang w:val="fr-FR"/>
        </w:rPr>
        <w:lastRenderedPageBreak/>
        <w:fldChar w:fldCharType="begin"/>
      </w:r>
      <w:r>
        <w:rPr>
          <w:lang w:val="fr-FR"/>
        </w:rPr>
        <w:instrText xml:space="preserve"> SEQ level0 \*arabic </w:instrText>
      </w:r>
      <w:r>
        <w:rPr>
          <w:lang w:val="fr-FR"/>
        </w:rPr>
        <w:fldChar w:fldCharType="separate"/>
      </w:r>
      <w:r w:rsidR="0096090F">
        <w:rPr>
          <w:noProof/>
          <w:lang w:val="fr-FR"/>
        </w:rPr>
        <w:t>31</w:t>
      </w:r>
      <w:r>
        <w:rPr>
          <w:lang w:val="fr-FR"/>
        </w:rPr>
        <w:fldChar w:fldCharType="end"/>
      </w:r>
      <w:r>
        <w:rPr>
          <w:lang w:val="fr-FR"/>
        </w:rPr>
        <w:t>.  </w:t>
      </w:r>
      <w:r w:rsidR="00CA03D2">
        <w:rPr>
          <w:lang w:val="fr-FR"/>
        </w:rPr>
        <w:t xml:space="preserve">La requérante </w:t>
      </w:r>
      <w:r w:rsidR="00BC59FF">
        <w:rPr>
          <w:lang w:val="fr-FR"/>
        </w:rPr>
        <w:t>attire l</w:t>
      </w:r>
      <w:r w:rsidR="00E91700">
        <w:rPr>
          <w:lang w:val="fr-FR"/>
        </w:rPr>
        <w:t>’</w:t>
      </w:r>
      <w:r w:rsidR="00BC59FF">
        <w:rPr>
          <w:lang w:val="fr-FR"/>
        </w:rPr>
        <w:t xml:space="preserve">attention sur le fait que </w:t>
      </w:r>
      <w:r w:rsidR="008B2513">
        <w:rPr>
          <w:lang w:val="fr-FR"/>
        </w:rPr>
        <w:t>la décision de déclarer les enfants adoptables a été prise en dépit</w:t>
      </w:r>
      <w:r w:rsidR="00BC59FF">
        <w:rPr>
          <w:lang w:val="fr-FR"/>
        </w:rPr>
        <w:t xml:space="preserve"> d</w:t>
      </w:r>
      <w:r w:rsidR="008D5655">
        <w:rPr>
          <w:lang w:val="fr-FR"/>
        </w:rPr>
        <w:t xml:space="preserve">es rapports des experts </w:t>
      </w:r>
      <w:r w:rsidR="00BC59FF">
        <w:rPr>
          <w:lang w:val="fr-FR"/>
        </w:rPr>
        <w:t>selon lesquels le lien parent-enfants devait être préservé. Elle rappelle à cet égard que</w:t>
      </w:r>
      <w:r w:rsidR="00AD0645">
        <w:rPr>
          <w:lang w:val="fr-FR"/>
        </w:rPr>
        <w:t>,</w:t>
      </w:r>
      <w:r w:rsidR="00AD0645" w:rsidRPr="00AD0645">
        <w:rPr>
          <w:lang w:val="fr-FR"/>
        </w:rPr>
        <w:t xml:space="preserve"> </w:t>
      </w:r>
      <w:r w:rsidR="00AD0645">
        <w:rPr>
          <w:lang w:val="fr-FR"/>
        </w:rPr>
        <w:t xml:space="preserve">dans un premier temps, les experts avaient envisagé </w:t>
      </w:r>
      <w:r w:rsidR="00BC59FF">
        <w:rPr>
          <w:lang w:val="fr-FR"/>
        </w:rPr>
        <w:t xml:space="preserve">le retour des enfants </w:t>
      </w:r>
      <w:r w:rsidR="003C05B8">
        <w:rPr>
          <w:lang w:val="fr-FR"/>
        </w:rPr>
        <w:t>chez leurs parents</w:t>
      </w:r>
      <w:r w:rsidR="00AD0645">
        <w:rPr>
          <w:lang w:val="fr-FR"/>
        </w:rPr>
        <w:t>. P</w:t>
      </w:r>
      <w:r w:rsidR="00BC59FF">
        <w:rPr>
          <w:lang w:val="fr-FR"/>
        </w:rPr>
        <w:t xml:space="preserve">ar la suite, lorsque </w:t>
      </w:r>
      <w:r w:rsidR="00C47742">
        <w:rPr>
          <w:lang w:val="fr-FR"/>
        </w:rPr>
        <w:t xml:space="preserve">son </w:t>
      </w:r>
      <w:r w:rsidR="00BC59FF">
        <w:rPr>
          <w:lang w:val="fr-FR"/>
        </w:rPr>
        <w:t>état de santé s</w:t>
      </w:r>
      <w:r w:rsidR="00E91700">
        <w:rPr>
          <w:lang w:val="fr-FR"/>
        </w:rPr>
        <w:t>’</w:t>
      </w:r>
      <w:r w:rsidR="00BC59FF">
        <w:rPr>
          <w:lang w:val="fr-FR"/>
        </w:rPr>
        <w:t>était aggravé</w:t>
      </w:r>
      <w:r w:rsidR="00AD0645">
        <w:rPr>
          <w:lang w:val="fr-FR"/>
        </w:rPr>
        <w:t xml:space="preserve"> et</w:t>
      </w:r>
      <w:r w:rsidR="00EE64BE">
        <w:rPr>
          <w:lang w:val="fr-FR"/>
        </w:rPr>
        <w:t xml:space="preserve"> </w:t>
      </w:r>
      <w:r w:rsidR="00AD0645">
        <w:rPr>
          <w:lang w:val="fr-FR"/>
        </w:rPr>
        <w:t>la cohabitation entre les deux parents avait été interrompue</w:t>
      </w:r>
      <w:r w:rsidR="00BC59FF">
        <w:rPr>
          <w:lang w:val="fr-FR"/>
        </w:rPr>
        <w:t xml:space="preserve">, </w:t>
      </w:r>
      <w:r w:rsidR="00AD0645">
        <w:rPr>
          <w:lang w:val="fr-FR"/>
        </w:rPr>
        <w:t>l</w:t>
      </w:r>
      <w:r w:rsidR="00E91700">
        <w:rPr>
          <w:lang w:val="fr-FR"/>
        </w:rPr>
        <w:t>’</w:t>
      </w:r>
      <w:r w:rsidR="008D5655">
        <w:rPr>
          <w:lang w:val="fr-FR"/>
        </w:rPr>
        <w:t>expert commis par le tribunal avai</w:t>
      </w:r>
      <w:r w:rsidR="00AD0645">
        <w:rPr>
          <w:lang w:val="fr-FR"/>
        </w:rPr>
        <w:t xml:space="preserve">t proposé </w:t>
      </w:r>
      <w:r w:rsidR="00BC59FF">
        <w:rPr>
          <w:lang w:val="fr-FR"/>
        </w:rPr>
        <w:t>de placer temporairement les enfants en famille d</w:t>
      </w:r>
      <w:r w:rsidR="00E91700">
        <w:rPr>
          <w:lang w:val="fr-FR"/>
        </w:rPr>
        <w:t>’</w:t>
      </w:r>
      <w:r w:rsidR="00BC59FF">
        <w:rPr>
          <w:lang w:val="fr-FR"/>
        </w:rPr>
        <w:t xml:space="preserve">accueil et </w:t>
      </w:r>
      <w:r w:rsidR="00425DE3">
        <w:rPr>
          <w:lang w:val="fr-FR"/>
        </w:rPr>
        <w:t xml:space="preserve">la mise </w:t>
      </w:r>
      <w:r w:rsidR="00BC59FF">
        <w:rPr>
          <w:lang w:val="fr-FR"/>
        </w:rPr>
        <w:t xml:space="preserve">en place </w:t>
      </w:r>
      <w:r w:rsidR="00C7103F">
        <w:rPr>
          <w:lang w:val="fr-FR"/>
        </w:rPr>
        <w:t>d</w:t>
      </w:r>
      <w:r w:rsidR="00E91700">
        <w:rPr>
          <w:lang w:val="fr-FR"/>
        </w:rPr>
        <w:t>’</w:t>
      </w:r>
      <w:r w:rsidR="00BC59FF">
        <w:rPr>
          <w:lang w:val="fr-FR"/>
        </w:rPr>
        <w:t>un parcours de soutien. Les juridictions inte</w:t>
      </w:r>
      <w:r w:rsidR="00AD0645">
        <w:rPr>
          <w:lang w:val="fr-FR"/>
        </w:rPr>
        <w:t>rnes ont pourtant contrevenu à telles</w:t>
      </w:r>
      <w:r w:rsidR="00C31CD3">
        <w:rPr>
          <w:lang w:val="fr-FR"/>
        </w:rPr>
        <w:t xml:space="preserve"> </w:t>
      </w:r>
      <w:r w:rsidR="00BC59FF">
        <w:rPr>
          <w:lang w:val="fr-FR"/>
        </w:rPr>
        <w:t xml:space="preserve">indications, ont </w:t>
      </w:r>
      <w:r w:rsidR="008303D3">
        <w:rPr>
          <w:lang w:val="fr-FR"/>
        </w:rPr>
        <w:t>déclaré les enfants a</w:t>
      </w:r>
      <w:r w:rsidR="00AD0645">
        <w:rPr>
          <w:lang w:val="fr-FR"/>
        </w:rPr>
        <w:t xml:space="preserve">doptables et les ont placés </w:t>
      </w:r>
      <w:r w:rsidR="006F02CB">
        <w:rPr>
          <w:lang w:val="fr-FR"/>
        </w:rPr>
        <w:t xml:space="preserve">chacun </w:t>
      </w:r>
      <w:r w:rsidR="00AD0645">
        <w:rPr>
          <w:lang w:val="fr-FR"/>
        </w:rPr>
        <w:t>dans</w:t>
      </w:r>
      <w:r w:rsidR="006F02CB">
        <w:rPr>
          <w:lang w:val="fr-FR"/>
        </w:rPr>
        <w:t xml:space="preserve"> une</w:t>
      </w:r>
      <w:r w:rsidR="008303D3">
        <w:rPr>
          <w:lang w:val="fr-FR"/>
        </w:rPr>
        <w:t xml:space="preserve"> famille</w:t>
      </w:r>
      <w:r w:rsidR="006F02CB">
        <w:rPr>
          <w:lang w:val="fr-FR"/>
        </w:rPr>
        <w:t xml:space="preserve"> différente</w:t>
      </w:r>
      <w:r w:rsidR="00190565">
        <w:rPr>
          <w:lang w:val="fr-FR"/>
        </w:rPr>
        <w:t>.</w:t>
      </w:r>
    </w:p>
    <w:p w:rsidR="008303D3" w:rsidRPr="00FC71C0" w:rsidRDefault="00BC17F4" w:rsidP="008303D3">
      <w:pPr>
        <w:pStyle w:val="ECHRHeading4"/>
        <w:rPr>
          <w:lang w:val="fr-FR"/>
        </w:rPr>
      </w:pPr>
      <w:r>
        <w:rPr>
          <w:lang w:val="fr-FR"/>
        </w:rPr>
        <w:t>b</w:t>
      </w:r>
      <w:r w:rsidR="008303D3">
        <w:rPr>
          <w:lang w:val="fr-FR"/>
        </w:rPr>
        <w:t>)  Le Gouvernement</w:t>
      </w:r>
    </w:p>
    <w:p w:rsidR="00C31CD3" w:rsidRDefault="00190565" w:rsidP="00C63990">
      <w:pPr>
        <w:pStyle w:val="ECHRPara"/>
        <w:rPr>
          <w:lang w:val="fr-FR"/>
        </w:rPr>
      </w:pPr>
      <w:r>
        <w:rPr>
          <w:lang w:val="fr-FR"/>
        </w:rPr>
        <w:fldChar w:fldCharType="begin"/>
      </w:r>
      <w:r>
        <w:rPr>
          <w:lang w:val="fr-FR"/>
        </w:rPr>
        <w:instrText xml:space="preserve"> SEQ level0 \*arabic </w:instrText>
      </w:r>
      <w:r>
        <w:rPr>
          <w:lang w:val="fr-FR"/>
        </w:rPr>
        <w:fldChar w:fldCharType="separate"/>
      </w:r>
      <w:r w:rsidR="0096090F">
        <w:rPr>
          <w:noProof/>
          <w:lang w:val="fr-FR"/>
        </w:rPr>
        <w:t>32</w:t>
      </w:r>
      <w:r>
        <w:rPr>
          <w:lang w:val="fr-FR"/>
        </w:rPr>
        <w:fldChar w:fldCharType="end"/>
      </w:r>
      <w:r>
        <w:rPr>
          <w:lang w:val="fr-FR"/>
        </w:rPr>
        <w:t>.  </w:t>
      </w:r>
      <w:r w:rsidR="003F0B16">
        <w:rPr>
          <w:lang w:val="fr-FR"/>
        </w:rPr>
        <w:t xml:space="preserve">Le Gouvernement </w:t>
      </w:r>
      <w:r w:rsidR="000C4594">
        <w:rPr>
          <w:lang w:val="fr-FR"/>
        </w:rPr>
        <w:t xml:space="preserve">expose </w:t>
      </w:r>
      <w:r w:rsidR="003F0B16">
        <w:rPr>
          <w:lang w:val="fr-FR"/>
        </w:rPr>
        <w:t>que les autorités italiennes compétentes ont agi dans le souci de protéger l</w:t>
      </w:r>
      <w:r w:rsidR="00E91700">
        <w:rPr>
          <w:lang w:val="fr-FR"/>
        </w:rPr>
        <w:t>’</w:t>
      </w:r>
      <w:r w:rsidR="003F0B16">
        <w:rPr>
          <w:lang w:val="fr-FR"/>
        </w:rPr>
        <w:t>intérêt supérieur des enfants et ont pris toutes les mesures nécessaires pour sauvegarder le lien familial.</w:t>
      </w:r>
      <w:r w:rsidR="004A2AED">
        <w:rPr>
          <w:lang w:val="fr-FR"/>
        </w:rPr>
        <w:t xml:space="preserve"> </w:t>
      </w:r>
      <w:r w:rsidR="003F0B16">
        <w:rPr>
          <w:lang w:val="fr-FR"/>
        </w:rPr>
        <w:t>La déclaration d</w:t>
      </w:r>
      <w:r w:rsidR="00E91700">
        <w:rPr>
          <w:lang w:val="fr-FR"/>
        </w:rPr>
        <w:t>’</w:t>
      </w:r>
      <w:r w:rsidR="003F0B16">
        <w:rPr>
          <w:lang w:val="fr-FR"/>
        </w:rPr>
        <w:t>adoptabilité a été prononcée dans le cadre d</w:t>
      </w:r>
      <w:r w:rsidR="00E91700">
        <w:rPr>
          <w:lang w:val="fr-FR"/>
        </w:rPr>
        <w:t>’</w:t>
      </w:r>
      <w:r w:rsidR="003F0B16">
        <w:rPr>
          <w:lang w:val="fr-FR"/>
        </w:rPr>
        <w:t xml:space="preserve">une procédure </w:t>
      </w:r>
      <w:r w:rsidR="00603829">
        <w:rPr>
          <w:lang w:val="fr-FR"/>
        </w:rPr>
        <w:t>équitable</w:t>
      </w:r>
      <w:r w:rsidR="005032E1">
        <w:rPr>
          <w:lang w:val="fr-FR"/>
        </w:rPr>
        <w:t xml:space="preserve">, </w:t>
      </w:r>
      <w:r w:rsidR="00A84343">
        <w:rPr>
          <w:lang w:val="fr-FR"/>
        </w:rPr>
        <w:t xml:space="preserve">après un examen approfondi de la </w:t>
      </w:r>
      <w:r w:rsidR="005032E1">
        <w:rPr>
          <w:lang w:val="fr-FR"/>
        </w:rPr>
        <w:t>situation</w:t>
      </w:r>
      <w:r w:rsidR="00A84343">
        <w:rPr>
          <w:lang w:val="fr-FR"/>
        </w:rPr>
        <w:t xml:space="preserve"> </w:t>
      </w:r>
      <w:r w:rsidR="005032E1">
        <w:rPr>
          <w:lang w:val="fr-FR"/>
        </w:rPr>
        <w:t>psychologique et phys</w:t>
      </w:r>
      <w:r w:rsidR="00A84343">
        <w:rPr>
          <w:lang w:val="fr-FR"/>
        </w:rPr>
        <w:t>ique des parents et des enfants</w:t>
      </w:r>
      <w:r w:rsidR="005032E1">
        <w:rPr>
          <w:lang w:val="fr-FR"/>
        </w:rPr>
        <w:t>.</w:t>
      </w:r>
    </w:p>
    <w:p w:rsidR="00E77CB3" w:rsidRDefault="003F0B16" w:rsidP="00C63990">
      <w:pPr>
        <w:pStyle w:val="ECHRPara"/>
        <w:rPr>
          <w:lang w:val="fr-FR"/>
        </w:rPr>
      </w:pPr>
      <w:r>
        <w:rPr>
          <w:lang w:val="fr-FR"/>
        </w:rPr>
        <w:fldChar w:fldCharType="begin"/>
      </w:r>
      <w:r>
        <w:rPr>
          <w:lang w:val="fr-FR"/>
        </w:rPr>
        <w:instrText xml:space="preserve"> SEQ level0 \*arabic </w:instrText>
      </w:r>
      <w:r>
        <w:rPr>
          <w:lang w:val="fr-FR"/>
        </w:rPr>
        <w:fldChar w:fldCharType="separate"/>
      </w:r>
      <w:r w:rsidR="0096090F">
        <w:rPr>
          <w:noProof/>
          <w:lang w:val="fr-FR"/>
        </w:rPr>
        <w:t>33</w:t>
      </w:r>
      <w:r>
        <w:rPr>
          <w:lang w:val="fr-FR"/>
        </w:rPr>
        <w:fldChar w:fldCharType="end"/>
      </w:r>
      <w:r>
        <w:rPr>
          <w:lang w:val="fr-FR"/>
        </w:rPr>
        <w:t>.  Le Gouvernement rappelle que les enfants vivaient dans une situa</w:t>
      </w:r>
      <w:r w:rsidR="002C38DA">
        <w:rPr>
          <w:lang w:val="fr-FR"/>
        </w:rPr>
        <w:t>tion de précarité et de danger, ce qui a</w:t>
      </w:r>
      <w:r w:rsidR="000C4594">
        <w:rPr>
          <w:lang w:val="fr-FR"/>
        </w:rPr>
        <w:t>vait</w:t>
      </w:r>
      <w:r w:rsidR="002C38DA">
        <w:rPr>
          <w:lang w:val="fr-FR"/>
        </w:rPr>
        <w:t xml:space="preserve"> justifié </w:t>
      </w:r>
      <w:r>
        <w:rPr>
          <w:lang w:val="fr-FR"/>
        </w:rPr>
        <w:t>l</w:t>
      </w:r>
      <w:r w:rsidR="00E91700">
        <w:rPr>
          <w:lang w:val="fr-FR"/>
        </w:rPr>
        <w:t>’</w:t>
      </w:r>
      <w:r>
        <w:rPr>
          <w:lang w:val="fr-FR"/>
        </w:rPr>
        <w:t>inter</w:t>
      </w:r>
      <w:r w:rsidR="002C38DA">
        <w:rPr>
          <w:lang w:val="fr-FR"/>
        </w:rPr>
        <w:t xml:space="preserve">vention des services sociaux et </w:t>
      </w:r>
      <w:r w:rsidR="00F405FE">
        <w:rPr>
          <w:lang w:val="fr-FR"/>
        </w:rPr>
        <w:t>leur placement</w:t>
      </w:r>
      <w:r w:rsidR="002C38DA">
        <w:rPr>
          <w:lang w:val="fr-FR"/>
        </w:rPr>
        <w:t xml:space="preserve"> dans un institut.</w:t>
      </w:r>
    </w:p>
    <w:p w:rsidR="00C31CD3" w:rsidRDefault="00F15E6B" w:rsidP="00EA2497">
      <w:pPr>
        <w:pStyle w:val="ECHRPara"/>
        <w:rPr>
          <w:lang w:val="fr-FR"/>
        </w:rPr>
      </w:pPr>
      <w:r>
        <w:rPr>
          <w:lang w:val="fr-FR"/>
        </w:rPr>
        <w:fldChar w:fldCharType="begin"/>
      </w:r>
      <w:r>
        <w:rPr>
          <w:lang w:val="fr-FR"/>
        </w:rPr>
        <w:instrText xml:space="preserve"> SEQ level0 \*arabic </w:instrText>
      </w:r>
      <w:r>
        <w:rPr>
          <w:lang w:val="fr-FR"/>
        </w:rPr>
        <w:fldChar w:fldCharType="separate"/>
      </w:r>
      <w:r w:rsidR="0096090F">
        <w:rPr>
          <w:noProof/>
          <w:lang w:val="fr-FR"/>
        </w:rPr>
        <w:t>34</w:t>
      </w:r>
      <w:r>
        <w:rPr>
          <w:lang w:val="fr-FR"/>
        </w:rPr>
        <w:fldChar w:fldCharType="end"/>
      </w:r>
      <w:r>
        <w:rPr>
          <w:lang w:val="fr-FR"/>
        </w:rPr>
        <w:t>.  La déclaration d</w:t>
      </w:r>
      <w:r w:rsidR="00E91700">
        <w:rPr>
          <w:lang w:val="fr-FR"/>
        </w:rPr>
        <w:t>’</w:t>
      </w:r>
      <w:r>
        <w:rPr>
          <w:lang w:val="fr-FR"/>
        </w:rPr>
        <w:t>adoptabilité</w:t>
      </w:r>
      <w:r w:rsidR="001D237E">
        <w:rPr>
          <w:lang w:val="fr-FR"/>
        </w:rPr>
        <w:t>,</w:t>
      </w:r>
      <w:r>
        <w:rPr>
          <w:lang w:val="fr-FR"/>
        </w:rPr>
        <w:t xml:space="preserve"> intervenue après plusieurs tentatives de réunir les enfants et leurs parents, se fondait sur les indications des experts et était justifié</w:t>
      </w:r>
      <w:r w:rsidR="00B43FF9">
        <w:rPr>
          <w:lang w:val="fr-FR"/>
        </w:rPr>
        <w:t>e</w:t>
      </w:r>
      <w:r w:rsidR="004A2AED">
        <w:rPr>
          <w:lang w:val="fr-FR"/>
        </w:rPr>
        <w:t xml:space="preserve"> </w:t>
      </w:r>
      <w:r>
        <w:rPr>
          <w:lang w:val="fr-FR"/>
        </w:rPr>
        <w:t>par l</w:t>
      </w:r>
      <w:r w:rsidR="00E91700">
        <w:rPr>
          <w:lang w:val="fr-FR"/>
        </w:rPr>
        <w:t>’</w:t>
      </w:r>
      <w:r>
        <w:rPr>
          <w:lang w:val="fr-FR"/>
        </w:rPr>
        <w:t>exigence de sauvegarder l</w:t>
      </w:r>
      <w:r w:rsidR="00E91700">
        <w:rPr>
          <w:lang w:val="fr-FR"/>
        </w:rPr>
        <w:t>’</w:t>
      </w:r>
      <w:r>
        <w:rPr>
          <w:lang w:val="fr-FR"/>
        </w:rPr>
        <w:t>intérêt supérieur des enfants. Le Gouvernement rappelle à cet égard le c</w:t>
      </w:r>
      <w:r w:rsidR="00EA2497">
        <w:rPr>
          <w:lang w:val="fr-FR"/>
        </w:rPr>
        <w:t>ontenu des rapports d</w:t>
      </w:r>
      <w:r w:rsidR="00E91700">
        <w:rPr>
          <w:lang w:val="fr-FR"/>
        </w:rPr>
        <w:t>’</w:t>
      </w:r>
      <w:r w:rsidR="00EA2497">
        <w:rPr>
          <w:lang w:val="fr-FR"/>
        </w:rPr>
        <w:t xml:space="preserve">expertise montrant les limites de la capacité de la requérante </w:t>
      </w:r>
      <w:r w:rsidR="000C4594">
        <w:rPr>
          <w:lang w:val="fr-FR"/>
        </w:rPr>
        <w:t xml:space="preserve">à </w:t>
      </w:r>
      <w:r w:rsidR="00EA2497">
        <w:rPr>
          <w:lang w:val="fr-FR"/>
        </w:rPr>
        <w:t xml:space="preserve">exercer le rôle de parent ainsi que les </w:t>
      </w:r>
      <w:r w:rsidR="00865298">
        <w:rPr>
          <w:lang w:val="fr-FR"/>
        </w:rPr>
        <w:t>troubles comportement</w:t>
      </w:r>
      <w:r w:rsidR="000C4594">
        <w:rPr>
          <w:lang w:val="fr-FR"/>
        </w:rPr>
        <w:t>aux</w:t>
      </w:r>
      <w:r w:rsidR="00865298">
        <w:rPr>
          <w:lang w:val="fr-FR"/>
        </w:rPr>
        <w:t xml:space="preserve"> </w:t>
      </w:r>
      <w:r w:rsidR="00EA2497">
        <w:rPr>
          <w:lang w:val="fr-FR"/>
        </w:rPr>
        <w:t>des enfants liés à la situation familiale</w:t>
      </w:r>
      <w:r w:rsidR="00865298">
        <w:rPr>
          <w:lang w:val="fr-FR"/>
        </w:rPr>
        <w:t xml:space="preserve"> difficile</w:t>
      </w:r>
      <w:r w:rsidR="00EA2497">
        <w:rPr>
          <w:lang w:val="fr-FR"/>
        </w:rPr>
        <w:t xml:space="preserve"> </w:t>
      </w:r>
      <w:r>
        <w:rPr>
          <w:lang w:val="fr-FR"/>
        </w:rPr>
        <w:t>(voir paragraphe</w:t>
      </w:r>
      <w:r w:rsidR="005D0E24">
        <w:rPr>
          <w:lang w:val="fr-FR"/>
        </w:rPr>
        <w:t> </w:t>
      </w:r>
      <w:r>
        <w:rPr>
          <w:lang w:val="fr-FR"/>
        </w:rPr>
        <w:t>15 ci-dessus)</w:t>
      </w:r>
      <w:r w:rsidR="002C38DA">
        <w:rPr>
          <w:lang w:val="fr-FR"/>
        </w:rPr>
        <w:t>.</w:t>
      </w:r>
    </w:p>
    <w:p w:rsidR="00C31CD3" w:rsidRDefault="002C38DA" w:rsidP="002C38DA">
      <w:pPr>
        <w:pStyle w:val="ECHRPara"/>
        <w:rPr>
          <w:lang w:val="fr-FR"/>
        </w:rPr>
      </w:pPr>
      <w:r>
        <w:rPr>
          <w:lang w:val="fr-FR"/>
        </w:rPr>
        <w:fldChar w:fldCharType="begin"/>
      </w:r>
      <w:r>
        <w:rPr>
          <w:lang w:val="fr-FR"/>
        </w:rPr>
        <w:instrText xml:space="preserve"> SEQ level0 \*arabic </w:instrText>
      </w:r>
      <w:r>
        <w:rPr>
          <w:lang w:val="fr-FR"/>
        </w:rPr>
        <w:fldChar w:fldCharType="separate"/>
      </w:r>
      <w:r w:rsidR="0096090F">
        <w:rPr>
          <w:noProof/>
          <w:lang w:val="fr-FR"/>
        </w:rPr>
        <w:t>35</w:t>
      </w:r>
      <w:r>
        <w:rPr>
          <w:lang w:val="fr-FR"/>
        </w:rPr>
        <w:fldChar w:fldCharType="end"/>
      </w:r>
      <w:r>
        <w:rPr>
          <w:lang w:val="fr-FR"/>
        </w:rPr>
        <w:t>.  </w:t>
      </w:r>
      <w:r w:rsidR="002512B8">
        <w:rPr>
          <w:lang w:val="fr-FR"/>
        </w:rPr>
        <w:t xml:space="preserve">Le Gouvernement </w:t>
      </w:r>
      <w:r w:rsidR="000C4594">
        <w:rPr>
          <w:lang w:val="fr-FR"/>
        </w:rPr>
        <w:t xml:space="preserve">estime </w:t>
      </w:r>
      <w:r w:rsidR="002512B8">
        <w:rPr>
          <w:lang w:val="fr-FR"/>
        </w:rPr>
        <w:t>que la proposition des experts d</w:t>
      </w:r>
      <w:r w:rsidR="00E91700">
        <w:rPr>
          <w:lang w:val="fr-FR"/>
        </w:rPr>
        <w:t>’</w:t>
      </w:r>
      <w:r w:rsidR="002512B8">
        <w:rPr>
          <w:lang w:val="fr-FR"/>
        </w:rPr>
        <w:t>effectuer une nouvelle évaluation de la situation familiale avant de déclarer les enfants adoptables ne pouvait pas être accueillie par les juridictions internes.</w:t>
      </w:r>
    </w:p>
    <w:p w:rsidR="00C31CD3" w:rsidRDefault="00D7593C" w:rsidP="00D7593C">
      <w:pPr>
        <w:pStyle w:val="ECHRPara"/>
        <w:ind w:firstLine="0"/>
        <w:rPr>
          <w:lang w:val="fr-FR"/>
        </w:rPr>
      </w:pPr>
      <w:r>
        <w:rPr>
          <w:lang w:val="fr-FR"/>
        </w:rPr>
        <w:t>L</w:t>
      </w:r>
      <w:r w:rsidR="00E91700">
        <w:rPr>
          <w:lang w:val="fr-FR"/>
        </w:rPr>
        <w:t>’</w:t>
      </w:r>
      <w:r>
        <w:rPr>
          <w:lang w:val="fr-FR"/>
        </w:rPr>
        <w:t>analyse attentive des éléments de fait et de droit faite par les juridictions interne</w:t>
      </w:r>
      <w:r w:rsidR="001A0C01">
        <w:rPr>
          <w:lang w:val="fr-FR"/>
        </w:rPr>
        <w:t>s</w:t>
      </w:r>
      <w:r w:rsidR="000C4594">
        <w:rPr>
          <w:lang w:val="fr-FR"/>
        </w:rPr>
        <w:t xml:space="preserve"> </w:t>
      </w:r>
      <w:r>
        <w:rPr>
          <w:lang w:val="fr-FR"/>
        </w:rPr>
        <w:t>avait montré l</w:t>
      </w:r>
      <w:r w:rsidR="00E91700">
        <w:rPr>
          <w:lang w:val="fr-FR"/>
        </w:rPr>
        <w:t>’</w:t>
      </w:r>
      <w:r>
        <w:rPr>
          <w:lang w:val="fr-FR"/>
        </w:rPr>
        <w:t xml:space="preserve">existence de graves raisons justifiant la </w:t>
      </w:r>
      <w:r w:rsidR="000C4594">
        <w:rPr>
          <w:lang w:val="fr-FR"/>
        </w:rPr>
        <w:t xml:space="preserve">déclaration </w:t>
      </w:r>
      <w:r>
        <w:rPr>
          <w:lang w:val="fr-FR"/>
        </w:rPr>
        <w:t>d</w:t>
      </w:r>
      <w:r w:rsidR="00E91700">
        <w:rPr>
          <w:lang w:val="fr-FR"/>
        </w:rPr>
        <w:t>’</w:t>
      </w:r>
      <w:r>
        <w:rPr>
          <w:lang w:val="fr-FR"/>
        </w:rPr>
        <w:t>adoptabilité et ne laissait</w:t>
      </w:r>
      <w:r w:rsidR="004A2AED">
        <w:rPr>
          <w:lang w:val="fr-FR"/>
        </w:rPr>
        <w:t xml:space="preserve"> </w:t>
      </w:r>
      <w:r>
        <w:rPr>
          <w:lang w:val="fr-FR"/>
        </w:rPr>
        <w:t xml:space="preserve">aucun doute quant à </w:t>
      </w:r>
      <w:r w:rsidR="002C38DA">
        <w:rPr>
          <w:lang w:val="fr-FR"/>
        </w:rPr>
        <w:t>l</w:t>
      </w:r>
      <w:r w:rsidR="00E91700">
        <w:rPr>
          <w:lang w:val="fr-FR"/>
        </w:rPr>
        <w:t>’</w:t>
      </w:r>
      <w:r w:rsidR="002C38DA">
        <w:rPr>
          <w:lang w:val="fr-FR"/>
        </w:rPr>
        <w:t>impossibilité d</w:t>
      </w:r>
      <w:r w:rsidR="00E91700">
        <w:rPr>
          <w:lang w:val="fr-FR"/>
        </w:rPr>
        <w:t>’</w:t>
      </w:r>
      <w:r w:rsidR="002C38DA">
        <w:rPr>
          <w:lang w:val="fr-FR"/>
        </w:rPr>
        <w:t>un changement positif de la situation familiale</w:t>
      </w:r>
      <w:r w:rsidR="00060A3B">
        <w:rPr>
          <w:lang w:val="fr-FR"/>
        </w:rPr>
        <w:t>. L</w:t>
      </w:r>
      <w:r w:rsidR="002C38DA">
        <w:rPr>
          <w:lang w:val="fr-FR"/>
        </w:rPr>
        <w:t>a volonté des parents de s</w:t>
      </w:r>
      <w:r w:rsidR="00E91700">
        <w:rPr>
          <w:lang w:val="fr-FR"/>
        </w:rPr>
        <w:t>’</w:t>
      </w:r>
      <w:r w:rsidR="002C38DA">
        <w:rPr>
          <w:lang w:val="fr-FR"/>
        </w:rPr>
        <w:t>occuper des enfants et d</w:t>
      </w:r>
      <w:r w:rsidR="00E91700">
        <w:rPr>
          <w:lang w:val="fr-FR"/>
        </w:rPr>
        <w:t>’</w:t>
      </w:r>
      <w:r w:rsidR="002C38DA">
        <w:rPr>
          <w:lang w:val="fr-FR"/>
        </w:rPr>
        <w:t>accepter un soutien des services sociaux</w:t>
      </w:r>
      <w:r w:rsidR="004A2AED">
        <w:rPr>
          <w:lang w:val="fr-FR"/>
        </w:rPr>
        <w:t xml:space="preserve"> </w:t>
      </w:r>
      <w:r w:rsidR="002C38DA">
        <w:rPr>
          <w:lang w:val="fr-FR"/>
        </w:rPr>
        <w:t>ne suffi</w:t>
      </w:r>
      <w:r w:rsidR="00737395">
        <w:rPr>
          <w:lang w:val="fr-FR"/>
        </w:rPr>
        <w:t>sai</w:t>
      </w:r>
      <w:r w:rsidR="002C38DA">
        <w:rPr>
          <w:lang w:val="fr-FR"/>
        </w:rPr>
        <w:t xml:space="preserve">t pas à surmonter les </w:t>
      </w:r>
      <w:r w:rsidR="00060A3B">
        <w:rPr>
          <w:lang w:val="fr-FR"/>
        </w:rPr>
        <w:t>difficultés objectives du cas d</w:t>
      </w:r>
      <w:r w:rsidR="00E91700">
        <w:rPr>
          <w:lang w:val="fr-FR"/>
        </w:rPr>
        <w:t>’</w:t>
      </w:r>
      <w:r w:rsidR="00060A3B">
        <w:rPr>
          <w:lang w:val="fr-FR"/>
        </w:rPr>
        <w:t>espèce et</w:t>
      </w:r>
      <w:r w:rsidR="000C4594">
        <w:rPr>
          <w:lang w:val="fr-FR"/>
        </w:rPr>
        <w:t xml:space="preserve"> à</w:t>
      </w:r>
      <w:r w:rsidR="00060A3B">
        <w:rPr>
          <w:lang w:val="fr-FR"/>
        </w:rPr>
        <w:t xml:space="preserve"> assurer </w:t>
      </w:r>
      <w:r w:rsidR="000C4594">
        <w:rPr>
          <w:lang w:val="fr-FR"/>
        </w:rPr>
        <w:t xml:space="preserve">un </w:t>
      </w:r>
      <w:r w:rsidR="00060A3B">
        <w:rPr>
          <w:lang w:val="fr-FR"/>
        </w:rPr>
        <w:t xml:space="preserve">bon développement psychophysique </w:t>
      </w:r>
      <w:r w:rsidR="000C4594">
        <w:rPr>
          <w:lang w:val="fr-FR"/>
        </w:rPr>
        <w:t xml:space="preserve">aux </w:t>
      </w:r>
      <w:r w:rsidR="00060A3B">
        <w:rPr>
          <w:lang w:val="fr-FR"/>
        </w:rPr>
        <w:t>enfants.</w:t>
      </w:r>
    </w:p>
    <w:p w:rsidR="00025CD4" w:rsidRPr="006F4FF1" w:rsidRDefault="00025CD4" w:rsidP="002C38DA">
      <w:pPr>
        <w:pStyle w:val="ECHRPara"/>
        <w:rPr>
          <w:lang w:val="fr-FR"/>
        </w:rPr>
      </w:pPr>
      <w:r>
        <w:rPr>
          <w:lang w:val="fr-FR"/>
        </w:rPr>
        <w:fldChar w:fldCharType="begin"/>
      </w:r>
      <w:r>
        <w:rPr>
          <w:lang w:val="fr-FR"/>
        </w:rPr>
        <w:instrText xml:space="preserve"> SEQ level0 \*arabic </w:instrText>
      </w:r>
      <w:r>
        <w:rPr>
          <w:lang w:val="fr-FR"/>
        </w:rPr>
        <w:fldChar w:fldCharType="separate"/>
      </w:r>
      <w:r w:rsidR="0096090F">
        <w:rPr>
          <w:noProof/>
          <w:lang w:val="fr-FR"/>
        </w:rPr>
        <w:t>36</w:t>
      </w:r>
      <w:r>
        <w:rPr>
          <w:lang w:val="fr-FR"/>
        </w:rPr>
        <w:fldChar w:fldCharType="end"/>
      </w:r>
      <w:r>
        <w:rPr>
          <w:lang w:val="fr-FR"/>
        </w:rPr>
        <w:t>.  Le Gouvernement attire l</w:t>
      </w:r>
      <w:r w:rsidR="00E91700">
        <w:rPr>
          <w:lang w:val="fr-FR"/>
        </w:rPr>
        <w:t>’</w:t>
      </w:r>
      <w:r>
        <w:rPr>
          <w:lang w:val="fr-FR"/>
        </w:rPr>
        <w:t>attention sur le fait que la requérante avait déclaré devant les juridictions internes n</w:t>
      </w:r>
      <w:r w:rsidR="001A0C01">
        <w:rPr>
          <w:lang w:val="fr-FR"/>
        </w:rPr>
        <w:t>e</w:t>
      </w:r>
      <w:r>
        <w:rPr>
          <w:lang w:val="fr-FR"/>
        </w:rPr>
        <w:t xml:space="preserve"> pas </w:t>
      </w:r>
      <w:r w:rsidR="001A0C01">
        <w:rPr>
          <w:lang w:val="fr-FR"/>
        </w:rPr>
        <w:t xml:space="preserve">être </w:t>
      </w:r>
      <w:r w:rsidR="00737395">
        <w:rPr>
          <w:lang w:val="fr-FR"/>
        </w:rPr>
        <w:t>en mesure de s</w:t>
      </w:r>
      <w:r w:rsidR="00E91700">
        <w:rPr>
          <w:lang w:val="fr-FR"/>
        </w:rPr>
        <w:t>’</w:t>
      </w:r>
      <w:r w:rsidR="00737395">
        <w:rPr>
          <w:lang w:val="fr-FR"/>
        </w:rPr>
        <w:t xml:space="preserve">occuper des </w:t>
      </w:r>
      <w:r>
        <w:rPr>
          <w:lang w:val="fr-FR"/>
        </w:rPr>
        <w:t>enfants et a</w:t>
      </w:r>
      <w:r w:rsidR="00737395">
        <w:rPr>
          <w:lang w:val="fr-FR"/>
        </w:rPr>
        <w:t>vait</w:t>
      </w:r>
      <w:r>
        <w:rPr>
          <w:lang w:val="fr-FR"/>
        </w:rPr>
        <w:t xml:space="preserve"> demandé </w:t>
      </w:r>
      <w:r w:rsidR="00CD4DB6">
        <w:rPr>
          <w:lang w:val="fr-FR"/>
        </w:rPr>
        <w:t xml:space="preserve">à </w:t>
      </w:r>
      <w:r>
        <w:rPr>
          <w:lang w:val="fr-FR"/>
        </w:rPr>
        <w:t xml:space="preserve">être aidée ou </w:t>
      </w:r>
      <w:r w:rsidR="00CD4DB6">
        <w:rPr>
          <w:lang w:val="fr-FR"/>
        </w:rPr>
        <w:t>à ce que l</w:t>
      </w:r>
      <w:r w:rsidR="00E91700">
        <w:rPr>
          <w:lang w:val="fr-FR"/>
        </w:rPr>
        <w:t>’</w:t>
      </w:r>
      <w:r w:rsidR="00CD4DB6">
        <w:rPr>
          <w:lang w:val="fr-FR"/>
        </w:rPr>
        <w:t>on confie</w:t>
      </w:r>
      <w:r>
        <w:rPr>
          <w:lang w:val="fr-FR"/>
        </w:rPr>
        <w:t xml:space="preserve"> au père la garde des enfants. </w:t>
      </w:r>
      <w:r w:rsidR="00737395">
        <w:rPr>
          <w:lang w:val="fr-FR"/>
        </w:rPr>
        <w:t xml:space="preserve">Compte </w:t>
      </w:r>
      <w:r>
        <w:rPr>
          <w:lang w:val="fr-FR"/>
        </w:rPr>
        <w:t>tenu des dif</w:t>
      </w:r>
      <w:r w:rsidR="00865298">
        <w:rPr>
          <w:lang w:val="fr-FR"/>
        </w:rPr>
        <w:t xml:space="preserve">ficultés, reconnues par la </w:t>
      </w:r>
      <w:r>
        <w:rPr>
          <w:lang w:val="fr-FR"/>
        </w:rPr>
        <w:t>requérant</w:t>
      </w:r>
      <w:r w:rsidR="00737395">
        <w:rPr>
          <w:lang w:val="fr-FR"/>
        </w:rPr>
        <w:t>e</w:t>
      </w:r>
      <w:r w:rsidR="00865298">
        <w:rPr>
          <w:lang w:val="fr-FR"/>
        </w:rPr>
        <w:t xml:space="preserve"> elle-même</w:t>
      </w:r>
      <w:r w:rsidR="001A0C01">
        <w:rPr>
          <w:lang w:val="fr-FR"/>
        </w:rPr>
        <w:t>, ainsi que du</w:t>
      </w:r>
      <w:r>
        <w:rPr>
          <w:lang w:val="fr-FR"/>
        </w:rPr>
        <w:t xml:space="preserve"> fait que le parcours de soutien n</w:t>
      </w:r>
      <w:r w:rsidR="00E91700">
        <w:rPr>
          <w:lang w:val="fr-FR"/>
        </w:rPr>
        <w:t>’</w:t>
      </w:r>
      <w:r>
        <w:rPr>
          <w:lang w:val="fr-FR"/>
        </w:rPr>
        <w:t xml:space="preserve">avait pas abouti, </w:t>
      </w:r>
      <w:r>
        <w:rPr>
          <w:lang w:val="fr-FR"/>
        </w:rPr>
        <w:lastRenderedPageBreak/>
        <w:t>les juridictions internes ont adopté</w:t>
      </w:r>
      <w:r w:rsidR="00046685">
        <w:rPr>
          <w:lang w:val="fr-FR"/>
        </w:rPr>
        <w:t xml:space="preserve"> </w:t>
      </w:r>
      <w:r>
        <w:rPr>
          <w:lang w:val="fr-FR"/>
        </w:rPr>
        <w:t>la seule décision pouvant protéger l</w:t>
      </w:r>
      <w:r w:rsidR="00E91700">
        <w:rPr>
          <w:lang w:val="fr-FR"/>
        </w:rPr>
        <w:t>’</w:t>
      </w:r>
      <w:r>
        <w:rPr>
          <w:lang w:val="fr-FR"/>
        </w:rPr>
        <w:t xml:space="preserve">intérêt des enfants. </w:t>
      </w:r>
      <w:r w:rsidR="00737395">
        <w:rPr>
          <w:lang w:val="fr-FR"/>
        </w:rPr>
        <w:t xml:space="preserve">Le Gouvernement </w:t>
      </w:r>
      <w:r>
        <w:rPr>
          <w:lang w:val="fr-FR"/>
        </w:rPr>
        <w:t xml:space="preserve">rappelle </w:t>
      </w:r>
      <w:r w:rsidR="00737395">
        <w:rPr>
          <w:lang w:val="fr-FR"/>
        </w:rPr>
        <w:t xml:space="preserve">à cet égard </w:t>
      </w:r>
      <w:r>
        <w:rPr>
          <w:lang w:val="fr-FR"/>
        </w:rPr>
        <w:t>la jurisprudence de la Cour, selon laquelle un juste équilibre doit être ménagé entre les intérêts des enfants et des parents. Toutefois</w:t>
      </w:r>
      <w:r w:rsidR="001A0C01">
        <w:rPr>
          <w:lang w:val="fr-FR"/>
        </w:rPr>
        <w:t>,</w:t>
      </w:r>
      <w:r>
        <w:rPr>
          <w:lang w:val="fr-FR"/>
        </w:rPr>
        <w:t xml:space="preserve"> l</w:t>
      </w:r>
      <w:r w:rsidR="00E91700">
        <w:rPr>
          <w:lang w:val="fr-FR"/>
        </w:rPr>
        <w:t>’</w:t>
      </w:r>
      <w:r>
        <w:rPr>
          <w:lang w:val="fr-FR"/>
        </w:rPr>
        <w:t>intérêt supérieur de l</w:t>
      </w:r>
      <w:r w:rsidR="00E91700">
        <w:rPr>
          <w:lang w:val="fr-FR"/>
        </w:rPr>
        <w:t>’</w:t>
      </w:r>
      <w:r>
        <w:rPr>
          <w:lang w:val="fr-FR"/>
        </w:rPr>
        <w:t>enfant peut prévaloir sur celui des parents (</w:t>
      </w:r>
      <w:proofErr w:type="spellStart"/>
      <w:r w:rsidR="006F4FF1" w:rsidRPr="006F4FF1">
        <w:rPr>
          <w:i/>
          <w:lang w:val="fr-FR"/>
        </w:rPr>
        <w:t>Johansen</w:t>
      </w:r>
      <w:proofErr w:type="spellEnd"/>
      <w:r w:rsidR="006F4FF1" w:rsidRPr="006F4FF1">
        <w:rPr>
          <w:i/>
          <w:lang w:val="fr-FR"/>
        </w:rPr>
        <w:t xml:space="preserve"> c. Norvège</w:t>
      </w:r>
      <w:r w:rsidR="006F4FF1" w:rsidRPr="006F4FF1">
        <w:rPr>
          <w:lang w:val="fr-FR"/>
        </w:rPr>
        <w:t xml:space="preserve">, 7 août 1996, § </w:t>
      </w:r>
      <w:r w:rsidR="006F4FF1">
        <w:rPr>
          <w:lang w:val="fr-FR"/>
        </w:rPr>
        <w:t>78</w:t>
      </w:r>
      <w:r w:rsidR="006F4FF1" w:rsidRPr="006F4FF1">
        <w:rPr>
          <w:lang w:val="fr-FR"/>
        </w:rPr>
        <w:t xml:space="preserve">, </w:t>
      </w:r>
      <w:r w:rsidR="006F4FF1" w:rsidRPr="006F4FF1">
        <w:rPr>
          <w:i/>
          <w:lang w:val="fr-FR"/>
        </w:rPr>
        <w:t>Recueil des arrêts et décisions</w:t>
      </w:r>
      <w:r w:rsidR="006F4FF1" w:rsidRPr="006F4FF1">
        <w:rPr>
          <w:lang w:val="fr-FR"/>
        </w:rPr>
        <w:t xml:space="preserve"> 1996</w:t>
      </w:r>
      <w:r w:rsidR="006F4FF1" w:rsidRPr="006F4FF1">
        <w:rPr>
          <w:lang w:val="fr-FR"/>
        </w:rPr>
        <w:noBreakHyphen/>
        <w:t>III</w:t>
      </w:r>
      <w:r>
        <w:rPr>
          <w:lang w:val="fr-FR"/>
        </w:rPr>
        <w:t>).</w:t>
      </w:r>
    </w:p>
    <w:p w:rsidR="00C31CD3" w:rsidRDefault="00025CD4" w:rsidP="002C38DA">
      <w:pPr>
        <w:pStyle w:val="ECHRPara"/>
        <w:rPr>
          <w:lang w:val="fr-FR"/>
        </w:rPr>
      </w:pPr>
      <w:r>
        <w:rPr>
          <w:lang w:val="fr-FR"/>
        </w:rPr>
        <w:fldChar w:fldCharType="begin"/>
      </w:r>
      <w:r>
        <w:rPr>
          <w:lang w:val="fr-FR"/>
        </w:rPr>
        <w:instrText xml:space="preserve"> SEQ level0 \*arabic </w:instrText>
      </w:r>
      <w:r>
        <w:rPr>
          <w:lang w:val="fr-FR"/>
        </w:rPr>
        <w:fldChar w:fldCharType="separate"/>
      </w:r>
      <w:r w:rsidR="0096090F">
        <w:rPr>
          <w:noProof/>
          <w:lang w:val="fr-FR"/>
        </w:rPr>
        <w:t>37</w:t>
      </w:r>
      <w:r>
        <w:rPr>
          <w:lang w:val="fr-FR"/>
        </w:rPr>
        <w:fldChar w:fldCharType="end"/>
      </w:r>
      <w:r>
        <w:rPr>
          <w:lang w:val="fr-FR"/>
        </w:rPr>
        <w:t>.  </w:t>
      </w:r>
      <w:r w:rsidR="00D34D5A">
        <w:rPr>
          <w:lang w:val="fr-FR"/>
        </w:rPr>
        <w:t>Le</w:t>
      </w:r>
      <w:r>
        <w:rPr>
          <w:lang w:val="fr-FR"/>
        </w:rPr>
        <w:t xml:space="preserve"> Gouvernement</w:t>
      </w:r>
      <w:r w:rsidR="00D34D5A">
        <w:rPr>
          <w:lang w:val="fr-FR"/>
        </w:rPr>
        <w:t xml:space="preserve"> fait valoir que</w:t>
      </w:r>
      <w:r>
        <w:rPr>
          <w:lang w:val="fr-FR"/>
        </w:rPr>
        <w:t xml:space="preserve"> l</w:t>
      </w:r>
      <w:r w:rsidR="00E91700">
        <w:rPr>
          <w:lang w:val="fr-FR"/>
        </w:rPr>
        <w:t>’</w:t>
      </w:r>
      <w:r w:rsidRPr="00025CD4">
        <w:rPr>
          <w:lang w:val="fr-FR"/>
        </w:rPr>
        <w:t xml:space="preserve">ingérence dans le droit de la requérante </w:t>
      </w:r>
      <w:r w:rsidR="00D34D5A">
        <w:rPr>
          <w:lang w:val="fr-FR"/>
        </w:rPr>
        <w:t xml:space="preserve">au respect de sa vie familiale </w:t>
      </w:r>
      <w:r w:rsidRPr="00025CD4">
        <w:rPr>
          <w:lang w:val="fr-FR"/>
        </w:rPr>
        <w:t>était prévue par la loi et poursuivait le but de protéger l</w:t>
      </w:r>
      <w:r>
        <w:rPr>
          <w:lang w:val="fr-FR"/>
        </w:rPr>
        <w:t xml:space="preserve">es </w:t>
      </w:r>
      <w:r w:rsidRPr="00025CD4">
        <w:rPr>
          <w:lang w:val="fr-FR"/>
        </w:rPr>
        <w:t>enfant</w:t>
      </w:r>
      <w:r>
        <w:rPr>
          <w:lang w:val="fr-FR"/>
        </w:rPr>
        <w:t xml:space="preserve">s. Il </w:t>
      </w:r>
      <w:r w:rsidRPr="00025CD4">
        <w:rPr>
          <w:lang w:val="fr-FR"/>
        </w:rPr>
        <w:t xml:space="preserve">considère </w:t>
      </w:r>
      <w:r>
        <w:rPr>
          <w:lang w:val="fr-FR"/>
        </w:rPr>
        <w:t xml:space="preserve">enfin </w:t>
      </w:r>
      <w:r w:rsidRPr="00025CD4">
        <w:rPr>
          <w:lang w:val="fr-FR"/>
        </w:rPr>
        <w:t>que les motifs indiqués par les juridictions nationales pour fonder leurs décisions sont pertinents et suffisants</w:t>
      </w:r>
      <w:r w:rsidR="00D34D5A">
        <w:rPr>
          <w:lang w:val="fr-FR"/>
        </w:rPr>
        <w:t>,</w:t>
      </w:r>
      <w:r w:rsidRPr="00025CD4">
        <w:rPr>
          <w:lang w:val="fr-FR"/>
        </w:rPr>
        <w:t xml:space="preserve"> et que les autorités nationales n</w:t>
      </w:r>
      <w:r w:rsidR="00E91700">
        <w:rPr>
          <w:lang w:val="fr-FR"/>
        </w:rPr>
        <w:t>’</w:t>
      </w:r>
      <w:r w:rsidRPr="00025CD4">
        <w:rPr>
          <w:lang w:val="fr-FR"/>
        </w:rPr>
        <w:t>ont pas dépassé la marge d</w:t>
      </w:r>
      <w:r w:rsidR="00E91700">
        <w:rPr>
          <w:lang w:val="fr-FR"/>
        </w:rPr>
        <w:t>’</w:t>
      </w:r>
      <w:r w:rsidRPr="00025CD4">
        <w:rPr>
          <w:lang w:val="fr-FR"/>
        </w:rPr>
        <w:t>appréciation ménagée par le paragraphe</w:t>
      </w:r>
      <w:r w:rsidR="005D0E24">
        <w:rPr>
          <w:lang w:val="fr-FR"/>
        </w:rPr>
        <w:t> </w:t>
      </w:r>
      <w:r w:rsidRPr="00025CD4">
        <w:rPr>
          <w:lang w:val="fr-FR"/>
        </w:rPr>
        <w:t>2 de l</w:t>
      </w:r>
      <w:r w:rsidR="00E91700">
        <w:rPr>
          <w:lang w:val="fr-FR"/>
        </w:rPr>
        <w:t>’</w:t>
      </w:r>
      <w:r>
        <w:rPr>
          <w:lang w:val="fr-FR"/>
        </w:rPr>
        <w:t>article</w:t>
      </w:r>
      <w:r w:rsidR="005D0E24">
        <w:rPr>
          <w:lang w:val="fr-FR"/>
        </w:rPr>
        <w:t> </w:t>
      </w:r>
      <w:r>
        <w:rPr>
          <w:lang w:val="fr-FR"/>
        </w:rPr>
        <w:t>8 de la Convention.</w:t>
      </w:r>
    </w:p>
    <w:p w:rsidR="00230F89" w:rsidRPr="005F2169" w:rsidRDefault="00230F89" w:rsidP="00230F89">
      <w:pPr>
        <w:keepNext/>
        <w:keepLines/>
        <w:tabs>
          <w:tab w:val="left" w:pos="731"/>
        </w:tabs>
        <w:spacing w:before="240" w:after="120"/>
        <w:ind w:left="732" w:hanging="301"/>
        <w:outlineLvl w:val="2"/>
        <w:rPr>
          <w:rFonts w:asciiTheme="majorHAnsi" w:eastAsiaTheme="majorEastAsia" w:hAnsiTheme="majorHAnsi" w:cstheme="majorBidi"/>
          <w:bCs/>
          <w:i/>
          <w:lang w:val="fr-FR" w:eastAsia="fr-FR"/>
        </w:rPr>
      </w:pPr>
      <w:r>
        <w:rPr>
          <w:rFonts w:asciiTheme="majorHAnsi" w:eastAsiaTheme="majorEastAsia" w:hAnsiTheme="majorHAnsi" w:cstheme="majorBidi"/>
          <w:bCs/>
          <w:i/>
          <w:lang w:val="fr-FR" w:eastAsia="fr-FR"/>
        </w:rPr>
        <w:t>2.  </w:t>
      </w:r>
      <w:r w:rsidRPr="005F2169">
        <w:rPr>
          <w:rFonts w:asciiTheme="majorHAnsi" w:eastAsiaTheme="majorEastAsia" w:hAnsiTheme="majorHAnsi" w:cstheme="majorBidi"/>
          <w:bCs/>
          <w:i/>
          <w:lang w:val="fr-FR" w:eastAsia="fr-FR"/>
        </w:rPr>
        <w:t>Appréciation par la Cour</w:t>
      </w:r>
    </w:p>
    <w:p w:rsidR="00230F89" w:rsidRPr="00230F89" w:rsidRDefault="00230F89" w:rsidP="00230F89">
      <w:pPr>
        <w:pStyle w:val="ECHRHeading4"/>
        <w:rPr>
          <w:lang w:val="fr-FR"/>
        </w:rPr>
      </w:pPr>
      <w:r w:rsidRPr="00230F89">
        <w:rPr>
          <w:lang w:val="fr-FR"/>
        </w:rPr>
        <w:t>a)  Principes généraux</w:t>
      </w:r>
    </w:p>
    <w:p w:rsidR="00230F89" w:rsidRPr="00933233" w:rsidRDefault="00230F89" w:rsidP="00230F89">
      <w:pPr>
        <w:pStyle w:val="ECHRPara"/>
        <w:rPr>
          <w:i/>
          <w:lang w:val="fr-FR"/>
        </w:rPr>
      </w:pPr>
      <w:r>
        <w:rPr>
          <w:rFonts w:eastAsia="Times New Roman"/>
          <w:lang w:val="fr-FR"/>
        </w:rPr>
        <w:fldChar w:fldCharType="begin"/>
      </w:r>
      <w:r>
        <w:rPr>
          <w:rFonts w:eastAsia="Times New Roman"/>
          <w:lang w:val="fr-FR"/>
        </w:rPr>
        <w:instrText xml:space="preserve"> SEQ level0 \*arabic </w:instrText>
      </w:r>
      <w:r>
        <w:rPr>
          <w:rFonts w:eastAsia="Times New Roman"/>
          <w:lang w:val="fr-FR"/>
        </w:rPr>
        <w:fldChar w:fldCharType="separate"/>
      </w:r>
      <w:r w:rsidR="0096090F">
        <w:rPr>
          <w:rFonts w:eastAsia="Times New Roman"/>
          <w:noProof/>
          <w:lang w:val="fr-FR"/>
        </w:rPr>
        <w:t>38</w:t>
      </w:r>
      <w:r>
        <w:rPr>
          <w:rFonts w:eastAsia="Times New Roman"/>
          <w:lang w:val="fr-FR"/>
        </w:rPr>
        <w:fldChar w:fldCharType="end"/>
      </w:r>
      <w:r>
        <w:rPr>
          <w:rFonts w:eastAsia="Times New Roman"/>
          <w:lang w:val="fr-FR"/>
        </w:rPr>
        <w:t>.  </w:t>
      </w:r>
      <w:r w:rsidRPr="00230F89">
        <w:rPr>
          <w:rFonts w:eastAsia="Times New Roman"/>
          <w:lang w:val="fr-FR"/>
        </w:rPr>
        <w:t xml:space="preserve">La Cour constate </w:t>
      </w:r>
      <w:r w:rsidR="00600F74">
        <w:rPr>
          <w:rFonts w:eastAsia="Times New Roman"/>
          <w:lang w:val="fr-FR"/>
        </w:rPr>
        <w:t>à titre liminaire</w:t>
      </w:r>
      <w:r w:rsidRPr="00230F89">
        <w:rPr>
          <w:rFonts w:eastAsia="Times New Roman"/>
          <w:lang w:val="fr-FR"/>
        </w:rPr>
        <w:t xml:space="preserve"> qu</w:t>
      </w:r>
      <w:r w:rsidR="00E91700">
        <w:rPr>
          <w:rFonts w:eastAsia="Times New Roman"/>
          <w:lang w:val="fr-FR"/>
        </w:rPr>
        <w:t>’</w:t>
      </w:r>
      <w:r w:rsidRPr="00230F89">
        <w:rPr>
          <w:rFonts w:eastAsia="Times New Roman"/>
          <w:lang w:val="fr-FR"/>
        </w:rPr>
        <w:t>il n</w:t>
      </w:r>
      <w:r w:rsidR="00E91700">
        <w:rPr>
          <w:rFonts w:eastAsia="Times New Roman"/>
          <w:lang w:val="fr-FR"/>
        </w:rPr>
        <w:t>’</w:t>
      </w:r>
      <w:r w:rsidRPr="00230F89">
        <w:rPr>
          <w:rFonts w:eastAsia="Times New Roman"/>
          <w:lang w:val="fr-FR"/>
        </w:rPr>
        <w:t xml:space="preserve">est pas contesté que la </w:t>
      </w:r>
      <w:r w:rsidR="00103FAB">
        <w:rPr>
          <w:rFonts w:eastAsia="Times New Roman"/>
          <w:lang w:val="fr-FR"/>
        </w:rPr>
        <w:t>déclaration d</w:t>
      </w:r>
      <w:r w:rsidR="00E91700">
        <w:rPr>
          <w:rFonts w:eastAsia="Times New Roman"/>
          <w:lang w:val="fr-FR"/>
        </w:rPr>
        <w:t>’</w:t>
      </w:r>
      <w:r w:rsidR="00103FAB">
        <w:rPr>
          <w:rFonts w:eastAsia="Times New Roman"/>
          <w:lang w:val="fr-FR"/>
        </w:rPr>
        <w:t xml:space="preserve">adoptabilité des enfants </w:t>
      </w:r>
      <w:r w:rsidRPr="00230F89">
        <w:rPr>
          <w:rFonts w:eastAsia="Times New Roman"/>
          <w:lang w:val="fr-FR"/>
        </w:rPr>
        <w:t>constitue une ingérence dans l</w:t>
      </w:r>
      <w:r w:rsidR="00E91700">
        <w:rPr>
          <w:rFonts w:eastAsia="Times New Roman"/>
          <w:lang w:val="fr-FR"/>
        </w:rPr>
        <w:t>’</w:t>
      </w:r>
      <w:r w:rsidRPr="00230F89">
        <w:rPr>
          <w:rFonts w:eastAsia="Times New Roman"/>
          <w:lang w:val="fr-FR"/>
        </w:rPr>
        <w:t>exercice du droit de la requérante au respect de sa vie familiale. Elle rappelle qu</w:t>
      </w:r>
      <w:r w:rsidR="00E91700">
        <w:rPr>
          <w:rFonts w:eastAsia="Times New Roman"/>
          <w:lang w:val="fr-FR"/>
        </w:rPr>
        <w:t>’</w:t>
      </w:r>
      <w:r w:rsidRPr="00230F89">
        <w:rPr>
          <w:rFonts w:eastAsia="Times New Roman"/>
          <w:lang w:val="fr-FR"/>
        </w:rPr>
        <w:t>une telle ingérence n</w:t>
      </w:r>
      <w:r w:rsidR="00E91700">
        <w:rPr>
          <w:rFonts w:eastAsia="Times New Roman"/>
          <w:lang w:val="fr-FR"/>
        </w:rPr>
        <w:t>’</w:t>
      </w:r>
      <w:r w:rsidRPr="00230F89">
        <w:rPr>
          <w:rFonts w:eastAsia="Times New Roman"/>
          <w:lang w:val="fr-FR"/>
        </w:rPr>
        <w:t>est compatible avec l</w:t>
      </w:r>
      <w:r w:rsidR="00E91700">
        <w:rPr>
          <w:rFonts w:eastAsia="Times New Roman"/>
          <w:lang w:val="fr-FR"/>
        </w:rPr>
        <w:t>’</w:t>
      </w:r>
      <w:r w:rsidRPr="00230F89">
        <w:rPr>
          <w:rFonts w:eastAsia="Times New Roman"/>
          <w:lang w:val="fr-FR"/>
        </w:rPr>
        <w:t>article</w:t>
      </w:r>
      <w:r w:rsidR="005D0E24">
        <w:rPr>
          <w:rFonts w:eastAsia="Times New Roman"/>
          <w:lang w:val="fr-FR"/>
        </w:rPr>
        <w:t> </w:t>
      </w:r>
      <w:r w:rsidRPr="00230F89">
        <w:rPr>
          <w:rFonts w:eastAsia="Times New Roman"/>
          <w:lang w:val="fr-FR"/>
        </w:rPr>
        <w:t>8 que si elle remplit les conditions cumulatives d</w:t>
      </w:r>
      <w:r w:rsidR="00E91700">
        <w:rPr>
          <w:rFonts w:eastAsia="Times New Roman"/>
          <w:lang w:val="fr-FR"/>
        </w:rPr>
        <w:t>’</w:t>
      </w:r>
      <w:r w:rsidRPr="00230F89">
        <w:rPr>
          <w:rFonts w:eastAsia="Times New Roman"/>
          <w:lang w:val="fr-FR"/>
        </w:rPr>
        <w:t>être prévue par la loi, de poursuivre un but légitime, et d</w:t>
      </w:r>
      <w:r w:rsidR="00E91700">
        <w:rPr>
          <w:rFonts w:eastAsia="Times New Roman"/>
          <w:lang w:val="fr-FR"/>
        </w:rPr>
        <w:t>’</w:t>
      </w:r>
      <w:r w:rsidRPr="00230F89">
        <w:rPr>
          <w:rFonts w:eastAsia="Times New Roman"/>
          <w:lang w:val="fr-FR"/>
        </w:rPr>
        <w:t>être nécessaire dans une société démocratique. La notion de nécessité implique que l</w:t>
      </w:r>
      <w:r w:rsidR="00E91700">
        <w:rPr>
          <w:rFonts w:eastAsia="Times New Roman"/>
          <w:lang w:val="fr-FR"/>
        </w:rPr>
        <w:t>’</w:t>
      </w:r>
      <w:r w:rsidRPr="00230F89">
        <w:rPr>
          <w:rFonts w:eastAsia="Times New Roman"/>
          <w:lang w:val="fr-FR"/>
        </w:rPr>
        <w:t>ingérence se fonde sur un besoin social impérieux et qu</w:t>
      </w:r>
      <w:r w:rsidR="00E91700">
        <w:rPr>
          <w:rFonts w:eastAsia="Times New Roman"/>
          <w:lang w:val="fr-FR"/>
        </w:rPr>
        <w:t>’</w:t>
      </w:r>
      <w:r w:rsidRPr="00230F89">
        <w:rPr>
          <w:rFonts w:eastAsia="Times New Roman"/>
          <w:lang w:val="fr-FR"/>
        </w:rPr>
        <w:t xml:space="preserve">elle soit notamment proportionnée au but légitime recherché (voir </w:t>
      </w:r>
      <w:proofErr w:type="spellStart"/>
      <w:r w:rsidR="00276673" w:rsidRPr="00933233">
        <w:rPr>
          <w:rFonts w:ascii="Times New Roman" w:eastAsia="Times New Roman" w:hAnsi="Times New Roman" w:cs="Times New Roman"/>
          <w:i/>
          <w:lang w:val="fr-FR" w:eastAsia="fr-FR"/>
        </w:rPr>
        <w:t>Gnahoré</w:t>
      </w:r>
      <w:proofErr w:type="spellEnd"/>
      <w:r w:rsidR="00276673" w:rsidRPr="00933233">
        <w:rPr>
          <w:rFonts w:ascii="Times New Roman" w:eastAsia="Times New Roman" w:hAnsi="Times New Roman" w:cs="Times New Roman"/>
          <w:i/>
          <w:lang w:val="fr-FR" w:eastAsia="fr-FR"/>
        </w:rPr>
        <w:t xml:space="preserve"> c. France</w:t>
      </w:r>
      <w:r w:rsidR="00276673" w:rsidRPr="00933233">
        <w:rPr>
          <w:rFonts w:ascii="Times New Roman" w:eastAsia="Times New Roman" w:hAnsi="Times New Roman" w:cs="Times New Roman"/>
          <w:lang w:val="fr-FR" w:eastAsia="fr-FR"/>
        </w:rPr>
        <w:t>, n</w:t>
      </w:r>
      <w:r w:rsidR="00276673" w:rsidRPr="00933233">
        <w:rPr>
          <w:rFonts w:ascii="Times New Roman" w:eastAsia="Times New Roman" w:hAnsi="Times New Roman" w:cs="Times New Roman"/>
          <w:vertAlign w:val="superscript"/>
          <w:lang w:val="fr-FR" w:eastAsia="fr-FR"/>
        </w:rPr>
        <w:t>o</w:t>
      </w:r>
      <w:r w:rsidR="00276673" w:rsidRPr="00933233">
        <w:rPr>
          <w:rFonts w:ascii="Times New Roman" w:eastAsia="Times New Roman" w:hAnsi="Times New Roman" w:cs="Times New Roman"/>
          <w:lang w:val="fr-FR" w:eastAsia="fr-FR"/>
        </w:rPr>
        <w:t xml:space="preserve"> 40031/98, § </w:t>
      </w:r>
      <w:r w:rsidR="00276673">
        <w:rPr>
          <w:rFonts w:ascii="Times New Roman" w:eastAsia="Times New Roman" w:hAnsi="Times New Roman" w:cs="Times New Roman"/>
          <w:lang w:val="fr-FR" w:eastAsia="fr-FR"/>
        </w:rPr>
        <w:t>50</w:t>
      </w:r>
      <w:r w:rsidR="00276673" w:rsidRPr="00933233">
        <w:rPr>
          <w:rFonts w:ascii="Times New Roman" w:eastAsia="Times New Roman" w:hAnsi="Times New Roman" w:cs="Times New Roman"/>
          <w:lang w:val="fr-FR" w:eastAsia="fr-FR"/>
        </w:rPr>
        <w:t>, CEDH 2000</w:t>
      </w:r>
      <w:r w:rsidR="00276673" w:rsidRPr="00933233">
        <w:rPr>
          <w:rFonts w:ascii="Times New Roman" w:eastAsia="Times New Roman" w:hAnsi="Times New Roman" w:cs="Times New Roman"/>
          <w:lang w:val="fr-FR" w:eastAsia="fr-FR"/>
        </w:rPr>
        <w:noBreakHyphen/>
        <w:t>IX</w:t>
      </w:r>
      <w:r w:rsidR="00276673">
        <w:rPr>
          <w:rFonts w:ascii="Times New Roman" w:eastAsia="Times New Roman" w:hAnsi="Times New Roman" w:cs="Times New Roman"/>
          <w:lang w:val="fr-FR" w:eastAsia="fr-FR"/>
        </w:rPr>
        <w:t xml:space="preserve">, </w:t>
      </w:r>
      <w:r w:rsidR="00933233" w:rsidRPr="00933233">
        <w:rPr>
          <w:i/>
          <w:lang w:val="fr-FR"/>
        </w:rPr>
        <w:t xml:space="preserve">Couillard </w:t>
      </w:r>
      <w:proofErr w:type="spellStart"/>
      <w:r w:rsidR="00933233" w:rsidRPr="00933233">
        <w:rPr>
          <w:i/>
          <w:lang w:val="fr-FR"/>
        </w:rPr>
        <w:t>Maugery</w:t>
      </w:r>
      <w:proofErr w:type="spellEnd"/>
      <w:r w:rsidR="00933233" w:rsidRPr="00933233">
        <w:rPr>
          <w:i/>
          <w:lang w:val="fr-FR"/>
        </w:rPr>
        <w:t xml:space="preserve"> c. France</w:t>
      </w:r>
      <w:r w:rsidR="00933233" w:rsidRPr="00933233">
        <w:rPr>
          <w:lang w:val="fr-FR"/>
        </w:rPr>
        <w:t>, n</w:t>
      </w:r>
      <w:r w:rsidR="00933233" w:rsidRPr="00933233">
        <w:rPr>
          <w:vertAlign w:val="superscript"/>
          <w:lang w:val="fr-FR"/>
        </w:rPr>
        <w:t>o</w:t>
      </w:r>
      <w:r w:rsidR="00933233" w:rsidRPr="00933233">
        <w:rPr>
          <w:lang w:val="fr-FR"/>
        </w:rPr>
        <w:t xml:space="preserve"> 64796/01, § </w:t>
      </w:r>
      <w:r w:rsidR="00933233">
        <w:rPr>
          <w:lang w:val="fr-FR"/>
        </w:rPr>
        <w:t>237,</w:t>
      </w:r>
      <w:r w:rsidR="00933233" w:rsidRPr="00933233">
        <w:rPr>
          <w:lang w:val="fr-FR"/>
        </w:rPr>
        <w:t xml:space="preserve"> 1</w:t>
      </w:r>
      <w:r w:rsidR="00933233" w:rsidRPr="00933233">
        <w:rPr>
          <w:rFonts w:ascii="Times New (W1)" w:hAnsi="Times New (W1)"/>
          <w:vertAlign w:val="superscript"/>
          <w:lang w:val="fr-FR"/>
        </w:rPr>
        <w:t>er</w:t>
      </w:r>
      <w:r w:rsidR="00933233" w:rsidRPr="00933233">
        <w:rPr>
          <w:lang w:val="fr-FR"/>
        </w:rPr>
        <w:t xml:space="preserve"> juillet 2004</w:t>
      </w:r>
      <w:r w:rsidR="00933233">
        <w:rPr>
          <w:lang w:val="fr-FR"/>
        </w:rPr>
        <w:t xml:space="preserve"> </w:t>
      </w:r>
      <w:r w:rsidRPr="00230F89">
        <w:rPr>
          <w:rFonts w:eastAsia="Times New Roman"/>
          <w:lang w:val="fr-FR"/>
        </w:rPr>
        <w:t xml:space="preserve">et </w:t>
      </w:r>
      <w:r w:rsidR="00933233" w:rsidRPr="00933233">
        <w:rPr>
          <w:i/>
          <w:lang w:val="fr-FR"/>
        </w:rPr>
        <w:t>Pontes c. Portugal</w:t>
      </w:r>
      <w:r w:rsidR="00933233" w:rsidRPr="00933233">
        <w:rPr>
          <w:lang w:val="fr-FR"/>
        </w:rPr>
        <w:t>, n</w:t>
      </w:r>
      <w:r w:rsidR="00933233" w:rsidRPr="00933233">
        <w:rPr>
          <w:vertAlign w:val="superscript"/>
          <w:lang w:val="fr-FR"/>
        </w:rPr>
        <w:t>o</w:t>
      </w:r>
      <w:r w:rsidR="00933233" w:rsidRPr="00933233">
        <w:rPr>
          <w:lang w:val="fr-FR"/>
        </w:rPr>
        <w:t xml:space="preserve"> 19554/09</w:t>
      </w:r>
      <w:r w:rsidR="00933233" w:rsidRPr="00933233">
        <w:rPr>
          <w:snapToGrid w:val="0"/>
          <w:szCs w:val="24"/>
          <w:lang w:val="fr-FR"/>
        </w:rPr>
        <w:t xml:space="preserve">, § </w:t>
      </w:r>
      <w:r w:rsidR="00933233">
        <w:rPr>
          <w:snapToGrid w:val="0"/>
          <w:szCs w:val="24"/>
          <w:lang w:val="fr-FR"/>
        </w:rPr>
        <w:t>74</w:t>
      </w:r>
      <w:r w:rsidR="00933233" w:rsidRPr="00933233">
        <w:rPr>
          <w:snapToGrid w:val="0"/>
          <w:szCs w:val="24"/>
          <w:lang w:val="fr-FR"/>
        </w:rPr>
        <w:t xml:space="preserve">, 10 </w:t>
      </w:r>
      <w:r w:rsidR="00933233" w:rsidRPr="00933233">
        <w:rPr>
          <w:szCs w:val="24"/>
          <w:lang w:val="fr-FR"/>
        </w:rPr>
        <w:t>avril</w:t>
      </w:r>
      <w:r w:rsidR="00933233" w:rsidRPr="00933233">
        <w:rPr>
          <w:snapToGrid w:val="0"/>
          <w:szCs w:val="24"/>
          <w:lang w:val="fr-FR"/>
        </w:rPr>
        <w:t xml:space="preserve"> 2012</w:t>
      </w:r>
      <w:r w:rsidRPr="00230F89">
        <w:rPr>
          <w:rFonts w:eastAsia="Times New Roman"/>
          <w:lang w:val="fr-FR"/>
        </w:rPr>
        <w:t>).</w:t>
      </w:r>
    </w:p>
    <w:p w:rsidR="00230F89" w:rsidRPr="00A5628A" w:rsidRDefault="00230F89" w:rsidP="00230F89">
      <w:pPr>
        <w:pStyle w:val="ECHRPara"/>
        <w:rPr>
          <w:lang w:val="fr-FR"/>
        </w:rPr>
      </w:pPr>
      <w:r w:rsidRPr="005F2169">
        <w:rPr>
          <w:rFonts w:eastAsia="Times New Roman"/>
        </w:rPr>
        <w:fldChar w:fldCharType="begin"/>
      </w:r>
      <w:r w:rsidRPr="00230F89">
        <w:rPr>
          <w:rFonts w:eastAsia="Times New Roman"/>
          <w:lang w:val="fr-FR"/>
        </w:rPr>
        <w:instrText xml:space="preserve"> SEQ level0 \*arabic </w:instrText>
      </w:r>
      <w:r w:rsidRPr="005F2169">
        <w:rPr>
          <w:rFonts w:eastAsia="Times New Roman"/>
        </w:rPr>
        <w:fldChar w:fldCharType="separate"/>
      </w:r>
      <w:r w:rsidR="0096090F">
        <w:rPr>
          <w:rFonts w:eastAsia="Times New Roman"/>
          <w:noProof/>
          <w:lang w:val="fr-FR"/>
        </w:rPr>
        <w:t>39</w:t>
      </w:r>
      <w:r w:rsidRPr="005F2169">
        <w:rPr>
          <w:rFonts w:eastAsia="Times New Roman"/>
        </w:rPr>
        <w:fldChar w:fldCharType="end"/>
      </w:r>
      <w:r w:rsidRPr="00230F89">
        <w:rPr>
          <w:rFonts w:eastAsia="Times New Roman"/>
          <w:lang w:val="fr-FR"/>
        </w:rPr>
        <w:t>.  La Cour rappelle qu</w:t>
      </w:r>
      <w:r w:rsidR="00E91700">
        <w:rPr>
          <w:rFonts w:eastAsia="Times New Roman"/>
          <w:lang w:val="fr-FR"/>
        </w:rPr>
        <w:t>’</w:t>
      </w:r>
      <w:r w:rsidRPr="00230F89">
        <w:rPr>
          <w:rFonts w:eastAsia="Times New Roman"/>
          <w:lang w:val="fr-FR"/>
        </w:rPr>
        <w:t>au-delà de la protection contre les ingérences arbitraires, l</w:t>
      </w:r>
      <w:r w:rsidR="00E91700">
        <w:rPr>
          <w:rFonts w:eastAsia="Times New Roman"/>
          <w:lang w:val="fr-FR"/>
        </w:rPr>
        <w:t>’</w:t>
      </w:r>
      <w:r w:rsidRPr="00230F89">
        <w:rPr>
          <w:rFonts w:eastAsia="Times New Roman"/>
          <w:lang w:val="fr-FR"/>
        </w:rPr>
        <w:t>article</w:t>
      </w:r>
      <w:r w:rsidR="005D0E24">
        <w:rPr>
          <w:rFonts w:eastAsia="Times New Roman"/>
          <w:lang w:val="fr-FR"/>
        </w:rPr>
        <w:t> </w:t>
      </w:r>
      <w:r w:rsidRPr="00230F89">
        <w:rPr>
          <w:rFonts w:eastAsia="Times New Roman"/>
          <w:lang w:val="fr-FR"/>
        </w:rPr>
        <w:t>8 met à la charge de l</w:t>
      </w:r>
      <w:r w:rsidR="00E91700">
        <w:rPr>
          <w:rFonts w:eastAsia="Times New Roman"/>
          <w:lang w:val="fr-FR"/>
        </w:rPr>
        <w:t>’</w:t>
      </w:r>
      <w:r w:rsidRPr="00230F89">
        <w:rPr>
          <w:rFonts w:eastAsia="Times New Roman"/>
          <w:lang w:val="fr-FR"/>
        </w:rPr>
        <w:t>État des obligations positives inhérentes au respect effectif de la vie familiale. Ainsi, là où l</w:t>
      </w:r>
      <w:r w:rsidR="00E91700">
        <w:rPr>
          <w:rFonts w:eastAsia="Times New Roman"/>
          <w:lang w:val="fr-FR"/>
        </w:rPr>
        <w:t>’</w:t>
      </w:r>
      <w:r w:rsidRPr="00230F89">
        <w:rPr>
          <w:rFonts w:eastAsia="Times New Roman"/>
          <w:lang w:val="fr-FR"/>
        </w:rPr>
        <w:t>existence d</w:t>
      </w:r>
      <w:r w:rsidR="00E91700">
        <w:rPr>
          <w:rFonts w:eastAsia="Times New Roman"/>
          <w:lang w:val="fr-FR"/>
        </w:rPr>
        <w:t>’</w:t>
      </w:r>
      <w:r w:rsidRPr="00230F89">
        <w:rPr>
          <w:rFonts w:eastAsia="Times New Roman"/>
          <w:lang w:val="fr-FR"/>
        </w:rPr>
        <w:t>un lien familial se trouve établie, l</w:t>
      </w:r>
      <w:r w:rsidR="00E91700">
        <w:rPr>
          <w:rFonts w:eastAsia="Times New Roman"/>
          <w:lang w:val="fr-FR"/>
        </w:rPr>
        <w:t>’</w:t>
      </w:r>
      <w:r w:rsidRPr="00230F89">
        <w:rPr>
          <w:rFonts w:eastAsia="Times New Roman"/>
          <w:lang w:val="fr-FR"/>
        </w:rPr>
        <w:t xml:space="preserve">État doit en principe agir de manière à permettre à ce lien de se développer (voir </w:t>
      </w:r>
      <w:proofErr w:type="spellStart"/>
      <w:r w:rsidRPr="00230F89">
        <w:rPr>
          <w:rFonts w:eastAsia="Times New Roman"/>
          <w:i/>
          <w:lang w:val="fr-FR"/>
        </w:rPr>
        <w:t>Olsson</w:t>
      </w:r>
      <w:proofErr w:type="spellEnd"/>
      <w:r w:rsidRPr="00230F89">
        <w:rPr>
          <w:rFonts w:eastAsia="Times New Roman"/>
          <w:i/>
          <w:lang w:val="fr-FR"/>
        </w:rPr>
        <w:t xml:space="preserve"> c. Suède</w:t>
      </w:r>
      <w:r w:rsidRPr="00230F89">
        <w:rPr>
          <w:rFonts w:eastAsia="Times New Roman"/>
          <w:lang w:val="fr-FR"/>
        </w:rPr>
        <w:t xml:space="preserve"> (</w:t>
      </w:r>
      <w:r w:rsidRPr="00230F89">
        <w:rPr>
          <w:lang w:val="fr-FR"/>
        </w:rPr>
        <w:t>n</w:t>
      </w:r>
      <w:r w:rsidRPr="00230F89">
        <w:rPr>
          <w:vertAlign w:val="superscript"/>
          <w:lang w:val="fr-FR"/>
        </w:rPr>
        <w:t>o</w:t>
      </w:r>
      <w:r w:rsidR="005D0E24">
        <w:rPr>
          <w:rFonts w:eastAsia="Times New Roman"/>
          <w:lang w:val="fr-FR"/>
        </w:rPr>
        <w:t> </w:t>
      </w:r>
      <w:r w:rsidRPr="00230F89">
        <w:rPr>
          <w:rFonts w:eastAsia="Times New Roman"/>
          <w:lang w:val="fr-FR"/>
        </w:rPr>
        <w:t>2), 27 novembre 1992, §</w:t>
      </w:r>
      <w:r w:rsidR="005D0E24">
        <w:rPr>
          <w:rFonts w:eastAsia="Times New Roman"/>
          <w:lang w:val="fr-FR"/>
        </w:rPr>
        <w:t> </w:t>
      </w:r>
      <w:r w:rsidRPr="00230F89">
        <w:rPr>
          <w:rFonts w:eastAsia="Times New Roman"/>
          <w:lang w:val="fr-FR"/>
        </w:rPr>
        <w:t xml:space="preserve">90, série A </w:t>
      </w:r>
      <w:r w:rsidRPr="00230F89">
        <w:rPr>
          <w:lang w:val="fr-FR"/>
        </w:rPr>
        <w:t>n</w:t>
      </w:r>
      <w:r w:rsidRPr="00230F89">
        <w:rPr>
          <w:vertAlign w:val="superscript"/>
          <w:lang w:val="fr-FR"/>
        </w:rPr>
        <w:t>o</w:t>
      </w:r>
      <w:r w:rsidR="005D0E24">
        <w:rPr>
          <w:rFonts w:eastAsia="Times New Roman"/>
          <w:lang w:val="fr-FR"/>
        </w:rPr>
        <w:t> </w:t>
      </w:r>
      <w:r w:rsidRPr="00230F89">
        <w:rPr>
          <w:rFonts w:eastAsia="Times New Roman"/>
          <w:lang w:val="fr-FR"/>
        </w:rPr>
        <w:t>250</w:t>
      </w:r>
      <w:r w:rsidR="00A034A3">
        <w:rPr>
          <w:rFonts w:eastAsia="Times New Roman"/>
          <w:lang w:val="fr-FR"/>
        </w:rPr>
        <w:t xml:space="preserve"> ; </w:t>
      </w:r>
      <w:proofErr w:type="spellStart"/>
      <w:r w:rsidR="00A034A3" w:rsidRPr="00B316E6">
        <w:rPr>
          <w:rStyle w:val="ju-005fpara-002cleft-002cfirst-0020line-003a-0020-00200-0020cm--char"/>
          <w:i/>
          <w:iCs/>
          <w:lang w:val="fr-FR"/>
        </w:rPr>
        <w:t>Neulinger</w:t>
      </w:r>
      <w:proofErr w:type="spellEnd"/>
      <w:r w:rsidR="00A034A3" w:rsidRPr="00B316E6">
        <w:rPr>
          <w:rStyle w:val="ju-005fpara-002cleft-002cfirst-0020line-003a-0020-00200-0020cm--char"/>
          <w:i/>
          <w:iCs/>
          <w:lang w:val="fr-FR"/>
        </w:rPr>
        <w:t xml:space="preserve"> et </w:t>
      </w:r>
      <w:proofErr w:type="spellStart"/>
      <w:r w:rsidR="00A034A3" w:rsidRPr="00B316E6">
        <w:rPr>
          <w:rStyle w:val="ju-005fpara-002cleft-002cfirst-0020line-003a-0020-00200-0020cm--char"/>
          <w:i/>
          <w:iCs/>
          <w:lang w:val="fr-FR"/>
        </w:rPr>
        <w:t>Shuruk</w:t>
      </w:r>
      <w:proofErr w:type="spellEnd"/>
      <w:r w:rsidR="00A034A3" w:rsidRPr="00B316E6">
        <w:rPr>
          <w:rStyle w:val="ju-005fpara-002cleft-002cfirst-0020line-003a-0020-00200-0020cm--char"/>
          <w:i/>
          <w:iCs/>
          <w:lang w:val="fr-FR"/>
        </w:rPr>
        <w:t xml:space="preserve"> c. Suisse</w:t>
      </w:r>
      <w:r w:rsidR="00A034A3" w:rsidRPr="00B316E6">
        <w:rPr>
          <w:lang w:val="fr-FR"/>
        </w:rPr>
        <w:t xml:space="preserve"> [GC], n</w:t>
      </w:r>
      <w:r w:rsidR="00A034A3" w:rsidRPr="00B316E6">
        <w:rPr>
          <w:vertAlign w:val="superscript"/>
          <w:lang w:val="fr-FR"/>
        </w:rPr>
        <w:t>o</w:t>
      </w:r>
      <w:r w:rsidR="005D0E24">
        <w:rPr>
          <w:lang w:val="fr-FR"/>
        </w:rPr>
        <w:t> </w:t>
      </w:r>
      <w:r w:rsidR="00A034A3" w:rsidRPr="00B316E6">
        <w:rPr>
          <w:lang w:val="fr-FR"/>
        </w:rPr>
        <w:t>41615/07, § 140, CEDH 2010</w:t>
      </w:r>
      <w:r w:rsidR="00A034A3">
        <w:rPr>
          <w:lang w:val="fr-FR"/>
        </w:rPr>
        <w:t> ;</w:t>
      </w:r>
      <w:r w:rsidR="00A034A3" w:rsidRPr="00A034A3">
        <w:rPr>
          <w:rFonts w:eastAsia="Times New Roman"/>
          <w:i/>
          <w:lang w:val="fr-FR"/>
        </w:rPr>
        <w:t xml:space="preserve"> </w:t>
      </w:r>
      <w:r w:rsidR="00A034A3" w:rsidRPr="00230F89">
        <w:rPr>
          <w:rFonts w:eastAsia="Times New Roman"/>
          <w:i/>
          <w:lang w:val="fr-FR"/>
        </w:rPr>
        <w:t>Pontes c. </w:t>
      </w:r>
      <w:r w:rsidR="00A034A3">
        <w:rPr>
          <w:rFonts w:eastAsia="Times New Roman"/>
          <w:i/>
          <w:lang w:val="fr-FR"/>
        </w:rPr>
        <w:t>Portugal</w:t>
      </w:r>
      <w:r w:rsidR="00A034A3">
        <w:rPr>
          <w:rFonts w:eastAsia="Times New Roman"/>
          <w:lang w:val="fr-FR"/>
        </w:rPr>
        <w:t>, précité, § 75</w:t>
      </w:r>
      <w:r w:rsidRPr="00230F89">
        <w:rPr>
          <w:rFonts w:eastAsia="Times New Roman"/>
          <w:lang w:val="fr-FR"/>
        </w:rPr>
        <w:t>). La frontière entre les obligations positives et négatives découlant de l</w:t>
      </w:r>
      <w:r w:rsidR="00E91700">
        <w:rPr>
          <w:rFonts w:eastAsia="Times New Roman"/>
          <w:lang w:val="fr-FR"/>
        </w:rPr>
        <w:t>’</w:t>
      </w:r>
      <w:r w:rsidRPr="00230F89">
        <w:rPr>
          <w:rFonts w:eastAsia="Times New Roman"/>
          <w:lang w:val="fr-FR"/>
        </w:rPr>
        <w:t>article</w:t>
      </w:r>
      <w:r w:rsidR="005D0E24">
        <w:rPr>
          <w:rFonts w:eastAsia="Times New Roman"/>
          <w:lang w:val="fr-FR"/>
        </w:rPr>
        <w:t> </w:t>
      </w:r>
      <w:r w:rsidRPr="00230F89">
        <w:rPr>
          <w:rFonts w:eastAsia="Times New Roman"/>
          <w:lang w:val="fr-FR"/>
        </w:rPr>
        <w:t>8 ne se prête pas à une définition précise, mais les principes applicables sont néanmoins comparables. En particulier, dans les deux cas, il faut avoir égard au juste équilibre à ménager entre les intérêts concurrents, en tenant compte toutefois de ce que l</w:t>
      </w:r>
      <w:r w:rsidR="00E91700">
        <w:rPr>
          <w:rFonts w:eastAsia="Times New Roman"/>
          <w:lang w:val="fr-FR"/>
        </w:rPr>
        <w:t>’</w:t>
      </w:r>
      <w:r w:rsidRPr="00230F89">
        <w:rPr>
          <w:rFonts w:eastAsia="Times New Roman"/>
          <w:lang w:val="fr-FR"/>
        </w:rPr>
        <w:t>intérêt supérieur de l</w:t>
      </w:r>
      <w:r w:rsidR="00E91700">
        <w:rPr>
          <w:rFonts w:eastAsia="Times New Roman"/>
          <w:lang w:val="fr-FR"/>
        </w:rPr>
        <w:t>’</w:t>
      </w:r>
      <w:r w:rsidRPr="00230F89">
        <w:rPr>
          <w:rFonts w:eastAsia="Times New Roman"/>
          <w:lang w:val="fr-FR"/>
        </w:rPr>
        <w:t>enfant doit constituer la considération déterminante qui, selon sa nature et sa gravité, peut l</w:t>
      </w:r>
      <w:r w:rsidR="00E91700">
        <w:rPr>
          <w:rFonts w:eastAsia="Times New Roman"/>
          <w:lang w:val="fr-FR"/>
        </w:rPr>
        <w:t>’</w:t>
      </w:r>
      <w:r w:rsidRPr="00230F89">
        <w:rPr>
          <w:rFonts w:eastAsia="Times New Roman"/>
          <w:lang w:val="fr-FR"/>
        </w:rPr>
        <w:t xml:space="preserve">emporter sur celui du parent </w:t>
      </w:r>
      <w:r w:rsidRPr="00230F89">
        <w:rPr>
          <w:rFonts w:eastAsia="Times New Roman"/>
          <w:i/>
          <w:lang w:val="fr-FR"/>
        </w:rPr>
        <w:t>(</w:t>
      </w:r>
      <w:r w:rsidR="00A034A3" w:rsidRPr="00B316E6">
        <w:rPr>
          <w:rStyle w:val="ju-005fpara-002cleft-002cfirst-0020line-003a-0020-00200-0020cm--char"/>
          <w:i/>
          <w:iCs/>
          <w:lang w:val="fr-FR"/>
        </w:rPr>
        <w:t xml:space="preserve">Sahin c. Allemagne </w:t>
      </w:r>
      <w:r w:rsidR="00A034A3" w:rsidRPr="00B316E6">
        <w:rPr>
          <w:lang w:val="fr-FR"/>
        </w:rPr>
        <w:t>[GC],</w:t>
      </w:r>
      <w:r w:rsidR="00A034A3" w:rsidRPr="00B316E6">
        <w:rPr>
          <w:rStyle w:val="ju-005fpara-002cleft-002cfirst-0020line-003a-0020-00200-0020cm--char"/>
          <w:i/>
          <w:iCs/>
          <w:lang w:val="fr-FR"/>
        </w:rPr>
        <w:t xml:space="preserve"> </w:t>
      </w:r>
      <w:r w:rsidR="00A034A3" w:rsidRPr="00B316E6">
        <w:rPr>
          <w:lang w:val="fr-FR"/>
        </w:rPr>
        <w:t>n</w:t>
      </w:r>
      <w:r w:rsidR="00A034A3" w:rsidRPr="00B316E6">
        <w:rPr>
          <w:vertAlign w:val="superscript"/>
          <w:lang w:val="fr-FR"/>
        </w:rPr>
        <w:t>o</w:t>
      </w:r>
      <w:r w:rsidR="005D0E24">
        <w:rPr>
          <w:lang w:val="fr-FR"/>
        </w:rPr>
        <w:t> </w:t>
      </w:r>
      <w:r w:rsidR="00A034A3" w:rsidRPr="00B316E6">
        <w:rPr>
          <w:lang w:val="fr-FR"/>
        </w:rPr>
        <w:t>30943/96, § 66, CEDH 2003-VIII</w:t>
      </w:r>
      <w:r w:rsidR="00A034A3">
        <w:rPr>
          <w:lang w:val="fr-FR"/>
        </w:rPr>
        <w:t> ;</w:t>
      </w:r>
      <w:r w:rsidR="00A034A3" w:rsidRPr="00230F89">
        <w:rPr>
          <w:rFonts w:eastAsia="Times New Roman"/>
          <w:i/>
          <w:lang w:val="fr-FR"/>
        </w:rPr>
        <w:t xml:space="preserve"> </w:t>
      </w:r>
      <w:r w:rsidR="00933233" w:rsidRPr="00933233">
        <w:rPr>
          <w:i/>
          <w:lang w:val="fr-FR"/>
        </w:rPr>
        <w:t>Kearns c. France</w:t>
      </w:r>
      <w:r w:rsidR="00933233" w:rsidRPr="00933233">
        <w:rPr>
          <w:lang w:val="fr-FR"/>
        </w:rPr>
        <w:t>, n</w:t>
      </w:r>
      <w:r w:rsidR="00933233" w:rsidRPr="00933233">
        <w:rPr>
          <w:vertAlign w:val="superscript"/>
          <w:lang w:val="fr-FR"/>
        </w:rPr>
        <w:t>o</w:t>
      </w:r>
      <w:r w:rsidR="00933233" w:rsidRPr="00933233">
        <w:rPr>
          <w:lang w:val="fr-FR"/>
        </w:rPr>
        <w:t xml:space="preserve"> 35991/04, § </w:t>
      </w:r>
      <w:r w:rsidR="00933233">
        <w:rPr>
          <w:lang w:val="fr-FR"/>
        </w:rPr>
        <w:t>79,</w:t>
      </w:r>
      <w:r w:rsidR="00D96C2D">
        <w:rPr>
          <w:lang w:val="fr-FR"/>
        </w:rPr>
        <w:t xml:space="preserve"> 10 janvier </w:t>
      </w:r>
      <w:r w:rsidR="00933233" w:rsidRPr="00933233">
        <w:rPr>
          <w:lang w:val="fr-FR"/>
        </w:rPr>
        <w:t>2008</w:t>
      </w:r>
      <w:r w:rsidR="00211287">
        <w:rPr>
          <w:rFonts w:eastAsia="Times New Roman"/>
          <w:lang w:val="fr-FR"/>
        </w:rPr>
        <w:t>;</w:t>
      </w:r>
      <w:r w:rsidR="00211287" w:rsidRPr="00211287">
        <w:rPr>
          <w:i/>
          <w:lang w:val="fr-FR"/>
        </w:rPr>
        <w:t xml:space="preserve"> </w:t>
      </w:r>
      <w:proofErr w:type="spellStart"/>
      <w:r w:rsidR="00211287" w:rsidRPr="003B0C32">
        <w:rPr>
          <w:i/>
          <w:lang w:val="fr-FR"/>
        </w:rPr>
        <w:t>Akinnibosun</w:t>
      </w:r>
      <w:proofErr w:type="spellEnd"/>
      <w:r w:rsidR="00211287" w:rsidRPr="003B0C32">
        <w:rPr>
          <w:i/>
          <w:lang w:val="fr-FR"/>
        </w:rPr>
        <w:t xml:space="preserve"> c. </w:t>
      </w:r>
      <w:r w:rsidR="00211287">
        <w:rPr>
          <w:i/>
          <w:lang w:val="fr-FR"/>
        </w:rPr>
        <w:t xml:space="preserve">Italie, </w:t>
      </w:r>
      <w:r w:rsidR="00211287">
        <w:rPr>
          <w:lang w:val="fr-FR"/>
        </w:rPr>
        <w:t>précité, §</w:t>
      </w:r>
      <w:r w:rsidR="005D0E24">
        <w:rPr>
          <w:lang w:val="fr-FR"/>
        </w:rPr>
        <w:t> </w:t>
      </w:r>
      <w:r w:rsidR="00211287">
        <w:rPr>
          <w:lang w:val="fr-FR"/>
        </w:rPr>
        <w:t>60, précité</w:t>
      </w:r>
      <w:r w:rsidRPr="00230F89">
        <w:rPr>
          <w:rFonts w:eastAsia="Times New Roman"/>
          <w:lang w:val="fr-FR"/>
        </w:rPr>
        <w:t>). Notamment, l</w:t>
      </w:r>
      <w:r w:rsidR="00E91700">
        <w:rPr>
          <w:rFonts w:eastAsia="Times New Roman"/>
          <w:lang w:val="fr-FR"/>
        </w:rPr>
        <w:t>’</w:t>
      </w:r>
      <w:r w:rsidRPr="00230F89">
        <w:rPr>
          <w:rFonts w:eastAsia="Times New Roman"/>
          <w:lang w:val="fr-FR"/>
        </w:rPr>
        <w:t>article</w:t>
      </w:r>
      <w:r w:rsidR="005D0E24">
        <w:rPr>
          <w:rFonts w:eastAsia="Times New Roman"/>
          <w:lang w:val="fr-FR"/>
        </w:rPr>
        <w:t> </w:t>
      </w:r>
      <w:r w:rsidRPr="00230F89">
        <w:rPr>
          <w:rFonts w:eastAsia="Times New Roman"/>
          <w:lang w:val="fr-FR"/>
        </w:rPr>
        <w:t xml:space="preserve">8 ne saurait </w:t>
      </w:r>
      <w:r w:rsidR="00041562">
        <w:rPr>
          <w:rFonts w:eastAsia="Times New Roman"/>
          <w:lang w:val="fr-FR"/>
        </w:rPr>
        <w:t>permettre à</w:t>
      </w:r>
      <w:r w:rsidR="00041562" w:rsidRPr="00230F89">
        <w:rPr>
          <w:rFonts w:eastAsia="Times New Roman"/>
          <w:lang w:val="fr-FR"/>
        </w:rPr>
        <w:t xml:space="preserve"> </w:t>
      </w:r>
      <w:r w:rsidRPr="00230F89">
        <w:rPr>
          <w:rFonts w:eastAsia="Times New Roman"/>
          <w:lang w:val="fr-FR"/>
        </w:rPr>
        <w:t xml:space="preserve">un parent </w:t>
      </w:r>
      <w:r w:rsidR="00041562">
        <w:rPr>
          <w:rFonts w:eastAsia="Times New Roman"/>
          <w:lang w:val="fr-FR"/>
        </w:rPr>
        <w:t>d</w:t>
      </w:r>
      <w:r w:rsidR="00E91700">
        <w:rPr>
          <w:rFonts w:eastAsia="Times New Roman"/>
          <w:lang w:val="fr-FR"/>
        </w:rPr>
        <w:t>’</w:t>
      </w:r>
      <w:r w:rsidR="00041562">
        <w:rPr>
          <w:rFonts w:eastAsia="Times New Roman"/>
          <w:lang w:val="fr-FR"/>
        </w:rPr>
        <w:t>exiger que soient prises</w:t>
      </w:r>
      <w:r w:rsidRPr="00230F89">
        <w:rPr>
          <w:rFonts w:eastAsia="Times New Roman"/>
          <w:lang w:val="fr-FR"/>
        </w:rPr>
        <w:t xml:space="preserve"> des </w:t>
      </w:r>
      <w:r w:rsidRPr="00230F89">
        <w:rPr>
          <w:rFonts w:eastAsia="Times New Roman"/>
          <w:lang w:val="fr-FR"/>
        </w:rPr>
        <w:lastRenderedPageBreak/>
        <w:t>mesures préjudiciables à la santé et au développement de l</w:t>
      </w:r>
      <w:r w:rsidR="00E91700">
        <w:rPr>
          <w:rFonts w:eastAsia="Times New Roman"/>
          <w:lang w:val="fr-FR"/>
        </w:rPr>
        <w:t>’</w:t>
      </w:r>
      <w:r w:rsidRPr="00230F89">
        <w:rPr>
          <w:rFonts w:eastAsia="Times New Roman"/>
          <w:lang w:val="fr-FR"/>
        </w:rPr>
        <w:t xml:space="preserve">enfant (voir, </w:t>
      </w:r>
      <w:proofErr w:type="spellStart"/>
      <w:r w:rsidR="00A5628A">
        <w:rPr>
          <w:rFonts w:eastAsia="Times New Roman"/>
          <w:i/>
          <w:lang w:val="fr-FR"/>
        </w:rPr>
        <w:t>Johansen</w:t>
      </w:r>
      <w:proofErr w:type="spellEnd"/>
      <w:r w:rsidR="00A5628A">
        <w:rPr>
          <w:rFonts w:eastAsia="Times New Roman"/>
          <w:i/>
          <w:lang w:val="fr-FR"/>
        </w:rPr>
        <w:t> c. </w:t>
      </w:r>
      <w:r w:rsidRPr="00230F89">
        <w:rPr>
          <w:rFonts w:eastAsia="Times New Roman"/>
          <w:i/>
          <w:lang w:val="fr-FR"/>
        </w:rPr>
        <w:t>Norvège</w:t>
      </w:r>
      <w:r w:rsidRPr="00230F89">
        <w:rPr>
          <w:rFonts w:eastAsia="Times New Roman"/>
          <w:lang w:val="fr-FR"/>
        </w:rPr>
        <w:t>,</w:t>
      </w:r>
      <w:r w:rsidR="002716E5" w:rsidRPr="002716E5">
        <w:rPr>
          <w:rFonts w:eastAsia="Times New Roman"/>
          <w:lang w:val="fr-FR"/>
        </w:rPr>
        <w:t xml:space="preserve"> </w:t>
      </w:r>
      <w:r w:rsidR="002716E5">
        <w:rPr>
          <w:rFonts w:eastAsia="Times New Roman"/>
          <w:lang w:val="fr-FR"/>
        </w:rPr>
        <w:t xml:space="preserve">précité, § 78 </w:t>
      </w:r>
      <w:r w:rsidRPr="00230F89">
        <w:rPr>
          <w:rFonts w:eastAsia="Times New Roman"/>
          <w:lang w:val="fr-FR"/>
        </w:rPr>
        <w:t xml:space="preserve">et </w:t>
      </w:r>
      <w:proofErr w:type="spellStart"/>
      <w:r w:rsidRPr="00230F89">
        <w:rPr>
          <w:rFonts w:eastAsia="Times New Roman"/>
          <w:i/>
          <w:lang w:val="fr-FR"/>
        </w:rPr>
        <w:t>Gnahoré</w:t>
      </w:r>
      <w:proofErr w:type="spellEnd"/>
      <w:r w:rsidRPr="00230F89">
        <w:rPr>
          <w:rFonts w:eastAsia="Times New Roman"/>
          <w:lang w:val="fr-FR"/>
        </w:rPr>
        <w:t>, précité, § 59). Ainsi, en matière d</w:t>
      </w:r>
      <w:r w:rsidR="00E91700">
        <w:rPr>
          <w:rFonts w:eastAsia="Times New Roman"/>
          <w:lang w:val="fr-FR"/>
        </w:rPr>
        <w:t>’</w:t>
      </w:r>
      <w:r w:rsidRPr="00230F89">
        <w:rPr>
          <w:rFonts w:eastAsia="Times New Roman"/>
          <w:lang w:val="fr-FR"/>
        </w:rPr>
        <w:t>adoption, la Cour a déjà admis qu</w:t>
      </w:r>
      <w:r w:rsidR="00E91700">
        <w:rPr>
          <w:rFonts w:eastAsia="Times New Roman"/>
          <w:lang w:val="fr-FR"/>
        </w:rPr>
        <w:t>’</w:t>
      </w:r>
      <w:r w:rsidRPr="00230F89">
        <w:rPr>
          <w:rFonts w:eastAsia="Times New Roman"/>
          <w:lang w:val="fr-FR"/>
        </w:rPr>
        <w:t>il puisse être de l</w:t>
      </w:r>
      <w:r w:rsidR="00E91700">
        <w:rPr>
          <w:rFonts w:eastAsia="Times New Roman"/>
          <w:lang w:val="fr-FR"/>
        </w:rPr>
        <w:t>’</w:t>
      </w:r>
      <w:r w:rsidRPr="00230F89">
        <w:rPr>
          <w:rFonts w:eastAsia="Times New Roman"/>
          <w:lang w:val="fr-FR"/>
        </w:rPr>
        <w:t>intérêt du mineur de favoriser l</w:t>
      </w:r>
      <w:r w:rsidR="00E91700">
        <w:rPr>
          <w:rFonts w:eastAsia="Times New Roman"/>
          <w:lang w:val="fr-FR"/>
        </w:rPr>
        <w:t>’</w:t>
      </w:r>
      <w:r w:rsidRPr="00230F89">
        <w:rPr>
          <w:rFonts w:eastAsia="Times New Roman"/>
          <w:lang w:val="fr-FR"/>
        </w:rPr>
        <w:t>instauration de liens affectifs stables avec ses parents nourriciers (</w:t>
      </w:r>
      <w:proofErr w:type="spellStart"/>
      <w:r w:rsidRPr="00230F89">
        <w:rPr>
          <w:rFonts w:eastAsia="Times New Roman"/>
          <w:i/>
          <w:lang w:val="fr-FR"/>
        </w:rPr>
        <w:t>Johansen</w:t>
      </w:r>
      <w:proofErr w:type="spellEnd"/>
      <w:r w:rsidRPr="00230F89">
        <w:rPr>
          <w:rFonts w:eastAsia="Times New Roman"/>
          <w:lang w:val="fr-FR"/>
        </w:rPr>
        <w:t>, précité, §</w:t>
      </w:r>
      <w:r w:rsidR="005D0E24">
        <w:rPr>
          <w:rFonts w:eastAsia="Times New Roman"/>
          <w:lang w:val="fr-FR"/>
        </w:rPr>
        <w:t> </w:t>
      </w:r>
      <w:r w:rsidRPr="00230F89">
        <w:rPr>
          <w:rFonts w:eastAsia="Times New Roman"/>
          <w:lang w:val="fr-FR"/>
        </w:rPr>
        <w:t xml:space="preserve">80, et </w:t>
      </w:r>
      <w:r w:rsidRPr="00230F89">
        <w:rPr>
          <w:rFonts w:eastAsia="Times New Roman"/>
          <w:i/>
          <w:lang w:val="fr-FR"/>
        </w:rPr>
        <w:t>Kearns</w:t>
      </w:r>
      <w:r w:rsidRPr="00230F89">
        <w:rPr>
          <w:rFonts w:eastAsia="Times New Roman"/>
          <w:lang w:val="fr-FR"/>
        </w:rPr>
        <w:t>, précité, § 80).</w:t>
      </w:r>
    </w:p>
    <w:p w:rsidR="00230F89" w:rsidRPr="00A5628A" w:rsidRDefault="00230F89" w:rsidP="00230F89">
      <w:pPr>
        <w:pStyle w:val="ECHRPara"/>
        <w:rPr>
          <w:lang w:val="fr-FR"/>
        </w:rPr>
      </w:pPr>
      <w:r w:rsidRPr="005F2169">
        <w:rPr>
          <w:rFonts w:eastAsia="Times New Roman"/>
        </w:rPr>
        <w:fldChar w:fldCharType="begin"/>
      </w:r>
      <w:r w:rsidRPr="00230F89">
        <w:rPr>
          <w:rFonts w:eastAsia="Times New Roman"/>
          <w:lang w:val="fr-FR"/>
        </w:rPr>
        <w:instrText xml:space="preserve"> SEQ level0 \*arabic </w:instrText>
      </w:r>
      <w:r w:rsidRPr="005F2169">
        <w:rPr>
          <w:rFonts w:eastAsia="Times New Roman"/>
        </w:rPr>
        <w:fldChar w:fldCharType="separate"/>
      </w:r>
      <w:r w:rsidR="0096090F">
        <w:rPr>
          <w:rFonts w:eastAsia="Times New Roman"/>
          <w:noProof/>
          <w:lang w:val="fr-FR"/>
        </w:rPr>
        <w:t>40</w:t>
      </w:r>
      <w:r w:rsidRPr="005F2169">
        <w:rPr>
          <w:rFonts w:eastAsia="Times New Roman"/>
        </w:rPr>
        <w:fldChar w:fldCharType="end"/>
      </w:r>
      <w:r w:rsidRPr="00230F89">
        <w:rPr>
          <w:rFonts w:eastAsia="Times New Roman"/>
          <w:lang w:val="fr-FR"/>
        </w:rPr>
        <w:t>.  La Cour rappelle également que, dans l</w:t>
      </w:r>
      <w:r w:rsidR="00E91700">
        <w:rPr>
          <w:rFonts w:eastAsia="Times New Roman"/>
          <w:lang w:val="fr-FR"/>
        </w:rPr>
        <w:t>’</w:t>
      </w:r>
      <w:r w:rsidRPr="00230F89">
        <w:rPr>
          <w:rFonts w:eastAsia="Times New Roman"/>
          <w:lang w:val="fr-FR"/>
        </w:rPr>
        <w:t>hypothèse des obligations négatives comme dans celle des obligations positives, l</w:t>
      </w:r>
      <w:r w:rsidR="00E91700">
        <w:rPr>
          <w:rFonts w:eastAsia="Times New Roman"/>
          <w:lang w:val="fr-FR"/>
        </w:rPr>
        <w:t>’</w:t>
      </w:r>
      <w:r w:rsidRPr="00230F89">
        <w:rPr>
          <w:rFonts w:eastAsia="Times New Roman"/>
          <w:lang w:val="fr-FR"/>
        </w:rPr>
        <w:t>État jouit d</w:t>
      </w:r>
      <w:r w:rsidR="00E91700">
        <w:rPr>
          <w:rFonts w:eastAsia="Times New Roman"/>
          <w:lang w:val="fr-FR"/>
        </w:rPr>
        <w:t>’</w:t>
      </w:r>
      <w:r w:rsidRPr="00230F89">
        <w:rPr>
          <w:rFonts w:eastAsia="Times New Roman"/>
          <w:lang w:val="fr-FR"/>
        </w:rPr>
        <w:t>une certaine marge d</w:t>
      </w:r>
      <w:r w:rsidR="00E91700">
        <w:rPr>
          <w:rFonts w:eastAsia="Times New Roman"/>
          <w:lang w:val="fr-FR"/>
        </w:rPr>
        <w:t>’</w:t>
      </w:r>
      <w:r w:rsidRPr="00230F89">
        <w:rPr>
          <w:rFonts w:eastAsia="Times New Roman"/>
          <w:lang w:val="fr-FR"/>
        </w:rPr>
        <w:t xml:space="preserve">appréciation (voir, </w:t>
      </w:r>
      <w:bookmarkStart w:id="2" w:name="File454"/>
      <w:bookmarkEnd w:id="2"/>
      <w:r w:rsidRPr="00230F89">
        <w:rPr>
          <w:rFonts w:eastAsia="Times New Roman"/>
          <w:i/>
          <w:lang w:val="fr-FR"/>
        </w:rPr>
        <w:t>W. c. Royaume-Uni</w:t>
      </w:r>
      <w:r w:rsidRPr="00230F89">
        <w:rPr>
          <w:rFonts w:eastAsia="Times New Roman"/>
          <w:lang w:val="fr-FR"/>
        </w:rPr>
        <w:t xml:space="preserve">, 8 juillet 1987, § 60, série A </w:t>
      </w:r>
      <w:r w:rsidRPr="00230F89">
        <w:rPr>
          <w:lang w:val="fr-FR"/>
        </w:rPr>
        <w:t>n</w:t>
      </w:r>
      <w:r w:rsidRPr="00230F89">
        <w:rPr>
          <w:vertAlign w:val="superscript"/>
          <w:lang w:val="fr-FR"/>
        </w:rPr>
        <w:t>o</w:t>
      </w:r>
      <w:r w:rsidR="005D0E24">
        <w:rPr>
          <w:lang w:val="fr-FR"/>
        </w:rPr>
        <w:t> </w:t>
      </w:r>
      <w:r w:rsidRPr="00230F89">
        <w:rPr>
          <w:rFonts w:eastAsia="Times New Roman"/>
          <w:lang w:val="fr-FR"/>
        </w:rPr>
        <w:t>121), qui varie selon la nature des questions en litige et la gravité des intérêts en jeu. En particulier, la Cour exige que des mesures aboutissant à briser les liens entre un enfant et sa famille ne soient appliquées que dans des circonstances exceptionnelles, c</w:t>
      </w:r>
      <w:r w:rsidR="00E91700">
        <w:rPr>
          <w:rFonts w:eastAsia="Times New Roman"/>
          <w:lang w:val="fr-FR"/>
        </w:rPr>
        <w:t>’</w:t>
      </w:r>
      <w:r w:rsidRPr="00230F89">
        <w:rPr>
          <w:rFonts w:eastAsia="Times New Roman"/>
          <w:lang w:val="fr-FR"/>
        </w:rPr>
        <w:t>est-à-dire uniquement dans les cas où les parents se sont montrés particulièrement indignes (</w:t>
      </w:r>
      <w:proofErr w:type="spellStart"/>
      <w:r w:rsidR="00933233" w:rsidRPr="00933233">
        <w:rPr>
          <w:i/>
          <w:lang w:val="fr-FR"/>
        </w:rPr>
        <w:t>Clemeno</w:t>
      </w:r>
      <w:proofErr w:type="spellEnd"/>
      <w:r w:rsidR="00933233" w:rsidRPr="00933233">
        <w:rPr>
          <w:i/>
          <w:lang w:val="fr-FR"/>
        </w:rPr>
        <w:t xml:space="preserve"> et autres c. Italie</w:t>
      </w:r>
      <w:r w:rsidR="00933233" w:rsidRPr="00933233">
        <w:rPr>
          <w:lang w:val="fr-FR"/>
        </w:rPr>
        <w:t>, n</w:t>
      </w:r>
      <w:r w:rsidR="00933233" w:rsidRPr="00933233">
        <w:rPr>
          <w:vertAlign w:val="superscript"/>
          <w:lang w:val="fr-FR"/>
        </w:rPr>
        <w:t>o</w:t>
      </w:r>
      <w:r w:rsidR="00933233" w:rsidRPr="00933233">
        <w:rPr>
          <w:lang w:val="fr-FR"/>
        </w:rPr>
        <w:t xml:space="preserve"> 19537/03, § </w:t>
      </w:r>
      <w:r w:rsidR="00933233">
        <w:rPr>
          <w:lang w:val="fr-FR"/>
        </w:rPr>
        <w:t>60</w:t>
      </w:r>
      <w:r w:rsidR="00933233" w:rsidRPr="00933233">
        <w:rPr>
          <w:lang w:val="fr-FR"/>
        </w:rPr>
        <w:t>, 21 octobre 2008</w:t>
      </w:r>
      <w:r w:rsidRPr="00230F89">
        <w:rPr>
          <w:rFonts w:eastAsia="Times New Roman"/>
          <w:lang w:val="fr-FR"/>
        </w:rPr>
        <w:t>), ou lorsqu</w:t>
      </w:r>
      <w:r w:rsidR="00E91700">
        <w:rPr>
          <w:rFonts w:eastAsia="Times New Roman"/>
          <w:lang w:val="fr-FR"/>
        </w:rPr>
        <w:t>’</w:t>
      </w:r>
      <w:r w:rsidRPr="00230F89">
        <w:rPr>
          <w:rFonts w:eastAsia="Times New Roman"/>
          <w:lang w:val="fr-FR"/>
        </w:rPr>
        <w:t>elles sont justifiées par une exigence primordiale touchant l</w:t>
      </w:r>
      <w:r w:rsidR="00E91700">
        <w:rPr>
          <w:rFonts w:eastAsia="Times New Roman"/>
          <w:lang w:val="fr-FR"/>
        </w:rPr>
        <w:t>’</w:t>
      </w:r>
      <w:r w:rsidRPr="00230F89">
        <w:rPr>
          <w:rFonts w:eastAsia="Times New Roman"/>
          <w:lang w:val="fr-FR"/>
        </w:rPr>
        <w:t>intérêt supérieur de l</w:t>
      </w:r>
      <w:r w:rsidR="00E91700">
        <w:rPr>
          <w:rFonts w:eastAsia="Times New Roman"/>
          <w:lang w:val="fr-FR"/>
        </w:rPr>
        <w:t>’</w:t>
      </w:r>
      <w:r w:rsidRPr="00230F89">
        <w:rPr>
          <w:rFonts w:eastAsia="Times New Roman"/>
          <w:lang w:val="fr-FR"/>
        </w:rPr>
        <w:t xml:space="preserve">enfant (voir </w:t>
      </w:r>
      <w:proofErr w:type="spellStart"/>
      <w:r w:rsidRPr="00230F89">
        <w:rPr>
          <w:rFonts w:eastAsia="Times New Roman"/>
          <w:i/>
          <w:lang w:val="fr-FR"/>
        </w:rPr>
        <w:t>Johansen</w:t>
      </w:r>
      <w:proofErr w:type="spellEnd"/>
      <w:r w:rsidRPr="00230F89">
        <w:rPr>
          <w:rFonts w:eastAsia="Times New Roman"/>
          <w:i/>
          <w:lang w:val="fr-FR"/>
        </w:rPr>
        <w:t>,</w:t>
      </w:r>
      <w:r w:rsidRPr="00230F89">
        <w:rPr>
          <w:rFonts w:eastAsia="Times New Roman"/>
          <w:lang w:val="fr-FR"/>
        </w:rPr>
        <w:t xml:space="preserve"> précité, § 84</w:t>
      </w:r>
      <w:r w:rsidR="002D37D2">
        <w:rPr>
          <w:rFonts w:eastAsia="Times New Roman"/>
          <w:lang w:val="fr-FR"/>
        </w:rPr>
        <w:t> </w:t>
      </w:r>
      <w:r w:rsidRPr="00230F89">
        <w:rPr>
          <w:rFonts w:eastAsia="Times New Roman"/>
          <w:lang w:val="fr-FR"/>
        </w:rPr>
        <w:t>;</w:t>
      </w:r>
      <w:r w:rsidR="00C311B3">
        <w:rPr>
          <w:i/>
          <w:lang w:val="fr-FR"/>
        </w:rPr>
        <w:t xml:space="preserve"> P., C. et S. c. </w:t>
      </w:r>
      <w:r w:rsidR="00933233" w:rsidRPr="00933233">
        <w:rPr>
          <w:i/>
          <w:lang w:val="fr-FR"/>
        </w:rPr>
        <w:t>Royaume-Uni</w:t>
      </w:r>
      <w:r w:rsidR="00933233" w:rsidRPr="00933233">
        <w:rPr>
          <w:lang w:val="fr-FR"/>
        </w:rPr>
        <w:t>, n</w:t>
      </w:r>
      <w:r w:rsidR="00933233" w:rsidRPr="00933233">
        <w:rPr>
          <w:vertAlign w:val="superscript"/>
          <w:lang w:val="fr-FR"/>
        </w:rPr>
        <w:t>o</w:t>
      </w:r>
      <w:r w:rsidR="00933233" w:rsidRPr="00933233">
        <w:rPr>
          <w:lang w:val="fr-FR"/>
        </w:rPr>
        <w:t xml:space="preserve"> 56547/00, § </w:t>
      </w:r>
      <w:r w:rsidR="00933233">
        <w:rPr>
          <w:lang w:val="fr-FR"/>
        </w:rPr>
        <w:t>118</w:t>
      </w:r>
      <w:r w:rsidR="00933233" w:rsidRPr="00933233">
        <w:rPr>
          <w:lang w:val="fr-FR"/>
        </w:rPr>
        <w:t>, CEDH 2002</w:t>
      </w:r>
      <w:r w:rsidR="00933233" w:rsidRPr="00933233">
        <w:rPr>
          <w:lang w:val="fr-FR"/>
        </w:rPr>
        <w:noBreakHyphen/>
        <w:t>VI</w:t>
      </w:r>
      <w:r w:rsidRPr="00230F89">
        <w:rPr>
          <w:rFonts w:eastAsia="Times New Roman"/>
          <w:lang w:val="fr-FR"/>
        </w:rPr>
        <w:t>). Cette approche peut toutefois être écartée en raison de la nature de la relation parent-enfant, lorsque le lien est très limité (</w:t>
      </w:r>
      <w:proofErr w:type="spellStart"/>
      <w:r w:rsidRPr="00230F89">
        <w:rPr>
          <w:rFonts w:eastAsia="Times New Roman"/>
          <w:i/>
          <w:lang w:val="fr-FR"/>
        </w:rPr>
        <w:t>Söderbäck</w:t>
      </w:r>
      <w:proofErr w:type="spellEnd"/>
      <w:r w:rsidRPr="00230F89">
        <w:rPr>
          <w:rFonts w:eastAsia="Times New Roman"/>
          <w:i/>
          <w:lang w:val="fr-FR"/>
        </w:rPr>
        <w:t xml:space="preserve"> c. Suède</w:t>
      </w:r>
      <w:r w:rsidR="00C311B3">
        <w:rPr>
          <w:rFonts w:eastAsia="Times New Roman"/>
          <w:lang w:val="fr-FR"/>
        </w:rPr>
        <w:t>, 28 octobre 1998, §§ 30 </w:t>
      </w:r>
      <w:r w:rsidR="00C311B3">
        <w:rPr>
          <w:rFonts w:eastAsia="Times New Roman"/>
          <w:lang w:val="fr-FR"/>
        </w:rPr>
        <w:noBreakHyphen/>
        <w:t> </w:t>
      </w:r>
      <w:r w:rsidRPr="00230F89">
        <w:rPr>
          <w:rFonts w:eastAsia="Times New Roman"/>
          <w:lang w:val="fr-FR"/>
        </w:rPr>
        <w:t xml:space="preserve">34, </w:t>
      </w:r>
      <w:r w:rsidRPr="00230F89">
        <w:rPr>
          <w:rFonts w:eastAsia="Times New Roman"/>
          <w:i/>
          <w:lang w:val="fr-FR"/>
        </w:rPr>
        <w:t>Recueil</w:t>
      </w:r>
      <w:r w:rsidR="005D0E24">
        <w:rPr>
          <w:rFonts w:eastAsia="Times New Roman"/>
          <w:lang w:val="fr-FR"/>
        </w:rPr>
        <w:t> </w:t>
      </w:r>
      <w:r w:rsidRPr="00230F89">
        <w:rPr>
          <w:rFonts w:eastAsia="Times New Roman"/>
          <w:lang w:val="fr-FR"/>
        </w:rPr>
        <w:t>1998</w:t>
      </w:r>
      <w:r w:rsidRPr="00230F89">
        <w:rPr>
          <w:rFonts w:eastAsia="Times New Roman"/>
          <w:lang w:val="fr-FR"/>
        </w:rPr>
        <w:noBreakHyphen/>
        <w:t>VII).</w:t>
      </w:r>
    </w:p>
    <w:p w:rsidR="00230F89" w:rsidRPr="00A07BBF" w:rsidRDefault="00230F89" w:rsidP="00230F89">
      <w:pPr>
        <w:pStyle w:val="ECHRPara"/>
        <w:rPr>
          <w:i/>
          <w:lang w:val="fr-FR"/>
        </w:rPr>
      </w:pPr>
      <w:r>
        <w:fldChar w:fldCharType="begin"/>
      </w:r>
      <w:r w:rsidRPr="00230F89">
        <w:rPr>
          <w:lang w:val="fr-FR"/>
        </w:rPr>
        <w:instrText xml:space="preserve"> SEQ level0 \*arabic </w:instrText>
      </w:r>
      <w:r>
        <w:fldChar w:fldCharType="separate"/>
      </w:r>
      <w:r w:rsidR="0096090F">
        <w:rPr>
          <w:noProof/>
          <w:lang w:val="fr-FR"/>
        </w:rPr>
        <w:t>41</w:t>
      </w:r>
      <w:r>
        <w:rPr>
          <w:noProof/>
        </w:rPr>
        <w:fldChar w:fldCharType="end"/>
      </w:r>
      <w:r w:rsidRPr="00230F89">
        <w:rPr>
          <w:lang w:val="fr-FR"/>
        </w:rPr>
        <w:t>.  Il appartient à chaque État contractant de se doter d</w:t>
      </w:r>
      <w:r w:rsidR="00E91700">
        <w:rPr>
          <w:lang w:val="fr-FR"/>
        </w:rPr>
        <w:t>’</w:t>
      </w:r>
      <w:r w:rsidRPr="00230F89">
        <w:rPr>
          <w:lang w:val="fr-FR"/>
        </w:rPr>
        <w:t xml:space="preserve">un arsenal juridique adéquat et suffisant pour assurer le respect </w:t>
      </w:r>
      <w:r w:rsidR="00FC34B3">
        <w:rPr>
          <w:lang w:val="fr-FR"/>
        </w:rPr>
        <w:t>des</w:t>
      </w:r>
      <w:r w:rsidRPr="00230F89">
        <w:rPr>
          <w:lang w:val="fr-FR"/>
        </w:rPr>
        <w:t xml:space="preserve"> obligations positives qui lui incombent en vertu de l</w:t>
      </w:r>
      <w:r w:rsidR="00E91700">
        <w:rPr>
          <w:lang w:val="fr-FR"/>
        </w:rPr>
        <w:t>’</w:t>
      </w:r>
      <w:r w:rsidRPr="00230F89">
        <w:rPr>
          <w:lang w:val="fr-FR"/>
        </w:rPr>
        <w:t>article</w:t>
      </w:r>
      <w:r w:rsidR="005D0E24">
        <w:rPr>
          <w:lang w:val="fr-FR"/>
        </w:rPr>
        <w:t> </w:t>
      </w:r>
      <w:r w:rsidRPr="00230F89">
        <w:rPr>
          <w:lang w:val="fr-FR"/>
        </w:rPr>
        <w:t>8 de la Convention et à la Cour de rechercher si, dans l</w:t>
      </w:r>
      <w:r w:rsidR="00E91700">
        <w:rPr>
          <w:lang w:val="fr-FR"/>
        </w:rPr>
        <w:t>’</w:t>
      </w:r>
      <w:r w:rsidRPr="00230F89">
        <w:rPr>
          <w:lang w:val="fr-FR"/>
        </w:rPr>
        <w:t>application et l</w:t>
      </w:r>
      <w:r w:rsidR="00E91700">
        <w:rPr>
          <w:lang w:val="fr-FR"/>
        </w:rPr>
        <w:t>’</w:t>
      </w:r>
      <w:r w:rsidRPr="00230F89">
        <w:rPr>
          <w:lang w:val="fr-FR"/>
        </w:rPr>
        <w:t>interprétation des dispositions légales applicables, les autorités internes ont respecté les garanties de l</w:t>
      </w:r>
      <w:r w:rsidR="00E91700">
        <w:rPr>
          <w:lang w:val="fr-FR"/>
        </w:rPr>
        <w:t>’</w:t>
      </w:r>
      <w:r w:rsidRPr="00230F89">
        <w:rPr>
          <w:lang w:val="fr-FR"/>
        </w:rPr>
        <w:t>article</w:t>
      </w:r>
      <w:r w:rsidR="005D0E24">
        <w:rPr>
          <w:lang w:val="fr-FR"/>
        </w:rPr>
        <w:t> </w:t>
      </w:r>
      <w:r w:rsidRPr="00230F89">
        <w:rPr>
          <w:lang w:val="fr-FR"/>
        </w:rPr>
        <w:t>8, en tenant notamment compte de l</w:t>
      </w:r>
      <w:r w:rsidR="00E91700">
        <w:rPr>
          <w:lang w:val="fr-FR"/>
        </w:rPr>
        <w:t>’</w:t>
      </w:r>
      <w:r w:rsidRPr="00230F89">
        <w:rPr>
          <w:lang w:val="fr-FR"/>
        </w:rPr>
        <w:t>intérêt supérieur de l</w:t>
      </w:r>
      <w:r w:rsidR="00E91700">
        <w:rPr>
          <w:lang w:val="fr-FR"/>
        </w:rPr>
        <w:t>’</w:t>
      </w:r>
      <w:r w:rsidRPr="00230F89">
        <w:rPr>
          <w:lang w:val="fr-FR"/>
        </w:rPr>
        <w:t xml:space="preserve">enfant (voir, </w:t>
      </w:r>
      <w:r w:rsidRPr="00230F89">
        <w:rPr>
          <w:i/>
          <w:lang w:val="fr-FR"/>
        </w:rPr>
        <w:t>mutatis mutandis</w:t>
      </w:r>
      <w:r w:rsidRPr="00230F89">
        <w:rPr>
          <w:lang w:val="fr-FR"/>
        </w:rPr>
        <w:t xml:space="preserve">, </w:t>
      </w:r>
      <w:proofErr w:type="spellStart"/>
      <w:r w:rsidR="00933233" w:rsidRPr="00933233">
        <w:rPr>
          <w:i/>
          <w:lang w:val="fr-FR"/>
        </w:rPr>
        <w:t>Neulinger</w:t>
      </w:r>
      <w:proofErr w:type="spellEnd"/>
      <w:r w:rsidR="00933233" w:rsidRPr="00933233">
        <w:rPr>
          <w:i/>
          <w:lang w:val="fr-FR"/>
        </w:rPr>
        <w:t xml:space="preserve"> et </w:t>
      </w:r>
      <w:proofErr w:type="spellStart"/>
      <w:r w:rsidR="00933233" w:rsidRPr="00933233">
        <w:rPr>
          <w:i/>
          <w:lang w:val="fr-FR"/>
        </w:rPr>
        <w:t>Shuruk</w:t>
      </w:r>
      <w:proofErr w:type="spellEnd"/>
      <w:r w:rsidR="00933233" w:rsidRPr="00933233">
        <w:rPr>
          <w:i/>
          <w:lang w:val="fr-FR"/>
        </w:rPr>
        <w:t xml:space="preserve"> c. Suisse</w:t>
      </w:r>
      <w:r w:rsidR="00933233" w:rsidRPr="00933233">
        <w:rPr>
          <w:lang w:val="fr-FR"/>
        </w:rPr>
        <w:t xml:space="preserve"> [GC], n</w:t>
      </w:r>
      <w:r w:rsidR="00933233" w:rsidRPr="00933233">
        <w:rPr>
          <w:vertAlign w:val="superscript"/>
          <w:lang w:val="fr-FR"/>
        </w:rPr>
        <w:t>o</w:t>
      </w:r>
      <w:r w:rsidR="00C311B3">
        <w:rPr>
          <w:lang w:val="fr-FR"/>
        </w:rPr>
        <w:t xml:space="preserve"> 41615/07, § </w:t>
      </w:r>
      <w:r w:rsidR="00933233">
        <w:rPr>
          <w:lang w:val="fr-FR"/>
        </w:rPr>
        <w:t>141</w:t>
      </w:r>
      <w:r w:rsidR="00933233" w:rsidRPr="00933233">
        <w:rPr>
          <w:lang w:val="fr-FR"/>
        </w:rPr>
        <w:t>, CEDH 2010</w:t>
      </w:r>
      <w:r w:rsidRPr="00230F89">
        <w:rPr>
          <w:lang w:val="fr-FR"/>
        </w:rPr>
        <w:t xml:space="preserve">, </w:t>
      </w:r>
      <w:r w:rsidRPr="00230F89">
        <w:rPr>
          <w:i/>
          <w:lang w:val="fr-FR"/>
        </w:rPr>
        <w:t>K.A.B. c. Espagne</w:t>
      </w:r>
      <w:r w:rsidRPr="00230F89">
        <w:rPr>
          <w:lang w:val="fr-FR"/>
        </w:rPr>
        <w:t xml:space="preserve">, </w:t>
      </w:r>
      <w:r w:rsidR="00600F74">
        <w:rPr>
          <w:lang w:val="fr-FR"/>
        </w:rPr>
        <w:t>n</w:t>
      </w:r>
      <w:r w:rsidR="00600F74" w:rsidRPr="00600F74">
        <w:rPr>
          <w:vertAlign w:val="superscript"/>
          <w:lang w:val="fr-FR"/>
        </w:rPr>
        <w:t>o</w:t>
      </w:r>
      <w:r w:rsidR="005D0E24">
        <w:rPr>
          <w:lang w:val="fr-FR"/>
        </w:rPr>
        <w:t> </w:t>
      </w:r>
      <w:r w:rsidRPr="00230F89">
        <w:rPr>
          <w:lang w:val="fr-FR"/>
        </w:rPr>
        <w:t>59819/08, § 115, 10 avril 2012</w:t>
      </w:r>
      <w:r w:rsidR="00A07BBF">
        <w:rPr>
          <w:lang w:val="fr-FR"/>
        </w:rPr>
        <w:t xml:space="preserve">, </w:t>
      </w:r>
      <w:r w:rsidR="00C311B3">
        <w:rPr>
          <w:i/>
          <w:lang w:val="fr-FR"/>
        </w:rPr>
        <w:t>X </w:t>
      </w:r>
      <w:r w:rsidR="00A07BBF" w:rsidRPr="00A07BBF">
        <w:rPr>
          <w:i/>
          <w:lang w:val="fr-FR"/>
        </w:rPr>
        <w:t xml:space="preserve">c. Lettonie </w:t>
      </w:r>
      <w:r w:rsidR="00A07BBF" w:rsidRPr="00A07BBF">
        <w:rPr>
          <w:lang w:val="fr-FR"/>
        </w:rPr>
        <w:t>[GC]</w:t>
      </w:r>
      <w:r w:rsidR="00A07BBF" w:rsidRPr="00A07BBF">
        <w:rPr>
          <w:snapToGrid w:val="0"/>
          <w:lang w:val="fr-FR"/>
        </w:rPr>
        <w:t xml:space="preserve">, </w:t>
      </w:r>
      <w:r w:rsidR="00A07BBF" w:rsidRPr="00A07BBF">
        <w:rPr>
          <w:lang w:val="fr-FR"/>
        </w:rPr>
        <w:t>n</w:t>
      </w:r>
      <w:r w:rsidR="00A07BBF" w:rsidRPr="00A07BBF">
        <w:rPr>
          <w:vertAlign w:val="superscript"/>
          <w:lang w:val="fr-FR"/>
        </w:rPr>
        <w:t>o</w:t>
      </w:r>
      <w:r w:rsidR="00A07BBF" w:rsidRPr="00A07BBF">
        <w:rPr>
          <w:lang w:val="fr-FR"/>
        </w:rPr>
        <w:t xml:space="preserve"> 27853/09</w:t>
      </w:r>
      <w:r w:rsidR="00A07BBF" w:rsidRPr="00A07BBF">
        <w:rPr>
          <w:snapToGrid w:val="0"/>
          <w:lang w:val="fr-FR"/>
        </w:rPr>
        <w:t xml:space="preserve">, § </w:t>
      </w:r>
      <w:r w:rsidR="00A07BBF">
        <w:rPr>
          <w:snapToGrid w:val="0"/>
          <w:lang w:val="fr-FR"/>
        </w:rPr>
        <w:t>102,</w:t>
      </w:r>
      <w:r w:rsidR="00A07BBF" w:rsidRPr="00A07BBF">
        <w:rPr>
          <w:snapToGrid w:val="0"/>
          <w:lang w:val="fr-FR"/>
        </w:rPr>
        <w:t xml:space="preserve"> </w:t>
      </w:r>
      <w:r w:rsidR="00A07BBF" w:rsidRPr="00A07BBF">
        <w:rPr>
          <w:lang w:val="fr-FR"/>
        </w:rPr>
        <w:t>CEDH 2013</w:t>
      </w:r>
      <w:r w:rsidRPr="00230F89">
        <w:rPr>
          <w:lang w:val="fr-FR"/>
        </w:rPr>
        <w:t>).</w:t>
      </w:r>
    </w:p>
    <w:p w:rsidR="00C31CD3" w:rsidRDefault="00230F89" w:rsidP="00230F89">
      <w:pPr>
        <w:pStyle w:val="ECHRPara"/>
        <w:rPr>
          <w:lang w:val="fr-FR"/>
        </w:rPr>
      </w:pPr>
      <w:r w:rsidRPr="005F2169">
        <w:rPr>
          <w:rFonts w:eastAsia="Times New Roman"/>
        </w:rPr>
        <w:fldChar w:fldCharType="begin"/>
      </w:r>
      <w:r w:rsidRPr="00230F89">
        <w:rPr>
          <w:rFonts w:eastAsia="Times New Roman"/>
          <w:lang w:val="fr-FR"/>
        </w:rPr>
        <w:instrText xml:space="preserve"> SEQ level0 \*arabic </w:instrText>
      </w:r>
      <w:r w:rsidRPr="005F2169">
        <w:rPr>
          <w:rFonts w:eastAsia="Times New Roman"/>
        </w:rPr>
        <w:fldChar w:fldCharType="separate"/>
      </w:r>
      <w:r w:rsidR="0096090F">
        <w:rPr>
          <w:rFonts w:eastAsia="Times New Roman"/>
          <w:noProof/>
          <w:lang w:val="fr-FR"/>
        </w:rPr>
        <w:t>42</w:t>
      </w:r>
      <w:r w:rsidRPr="005F2169">
        <w:rPr>
          <w:rFonts w:eastAsia="Times New Roman"/>
        </w:rPr>
        <w:fldChar w:fldCharType="end"/>
      </w:r>
      <w:r w:rsidRPr="00230F89">
        <w:rPr>
          <w:rFonts w:eastAsia="Times New Roman"/>
          <w:lang w:val="fr-FR"/>
        </w:rPr>
        <w:t>. </w:t>
      </w:r>
      <w:r w:rsidR="0074457F">
        <w:rPr>
          <w:rFonts w:eastAsia="Times New Roman"/>
          <w:lang w:val="fr-FR"/>
        </w:rPr>
        <w:t> </w:t>
      </w:r>
      <w:r w:rsidR="000E7792" w:rsidRPr="00C2548D">
        <w:rPr>
          <w:lang w:val="fr-FR"/>
        </w:rPr>
        <w:t>À cet égard et s</w:t>
      </w:r>
      <w:r w:rsidR="00E91700">
        <w:rPr>
          <w:lang w:val="fr-FR"/>
        </w:rPr>
        <w:t>’</w:t>
      </w:r>
      <w:r w:rsidR="000E7792" w:rsidRPr="00C2548D">
        <w:rPr>
          <w:lang w:val="fr-FR"/>
        </w:rPr>
        <w:t>agissant de l</w:t>
      </w:r>
      <w:r w:rsidR="00E91700">
        <w:rPr>
          <w:lang w:val="fr-FR"/>
        </w:rPr>
        <w:t>’</w:t>
      </w:r>
      <w:r w:rsidR="000E7792" w:rsidRPr="00C2548D">
        <w:rPr>
          <w:lang w:val="fr-FR"/>
        </w:rPr>
        <w:t>obligation pour l</w:t>
      </w:r>
      <w:r w:rsidR="00E91700">
        <w:rPr>
          <w:lang w:val="fr-FR"/>
        </w:rPr>
        <w:t>’</w:t>
      </w:r>
      <w:r w:rsidR="000E7792" w:rsidRPr="00C2548D">
        <w:rPr>
          <w:lang w:val="fr-FR"/>
        </w:rPr>
        <w:t>État d</w:t>
      </w:r>
      <w:r w:rsidR="00E91700">
        <w:rPr>
          <w:lang w:val="fr-FR"/>
        </w:rPr>
        <w:t>’</w:t>
      </w:r>
      <w:r w:rsidR="000E7792" w:rsidRPr="00C2548D">
        <w:rPr>
          <w:lang w:val="fr-FR"/>
        </w:rPr>
        <w:t>arrêter des mesures positives, la Cour n</w:t>
      </w:r>
      <w:r w:rsidR="00E91700">
        <w:rPr>
          <w:lang w:val="fr-FR"/>
        </w:rPr>
        <w:t>’</w:t>
      </w:r>
      <w:r w:rsidR="000E7792" w:rsidRPr="00C2548D">
        <w:rPr>
          <w:lang w:val="fr-FR"/>
        </w:rPr>
        <w:t>a cessé de dire que l</w:t>
      </w:r>
      <w:r w:rsidR="00E91700">
        <w:rPr>
          <w:lang w:val="fr-FR"/>
        </w:rPr>
        <w:t>’</w:t>
      </w:r>
      <w:r w:rsidR="000E7792" w:rsidRPr="00C2548D">
        <w:rPr>
          <w:lang w:val="fr-FR"/>
        </w:rPr>
        <w:t>article</w:t>
      </w:r>
      <w:r w:rsidR="005D0E24">
        <w:rPr>
          <w:lang w:val="fr-FR"/>
        </w:rPr>
        <w:t> </w:t>
      </w:r>
      <w:r w:rsidR="000E7792" w:rsidRPr="00C2548D">
        <w:rPr>
          <w:lang w:val="fr-FR"/>
        </w:rPr>
        <w:t>8 implique le droit pour un parent à des mesures propres à le réunir avec son enfant et l</w:t>
      </w:r>
      <w:r w:rsidR="00E91700">
        <w:rPr>
          <w:lang w:val="fr-FR"/>
        </w:rPr>
        <w:t>’</w:t>
      </w:r>
      <w:r w:rsidR="000E7792" w:rsidRPr="00C2548D">
        <w:rPr>
          <w:lang w:val="fr-FR"/>
        </w:rPr>
        <w:t xml:space="preserve">obligation pour les autorités nationales de les prendre (voir, par exemple, </w:t>
      </w:r>
      <w:r w:rsidR="000E7792" w:rsidRPr="00C2548D">
        <w:rPr>
          <w:i/>
          <w:lang w:val="fr-FR"/>
        </w:rPr>
        <w:t>Eriksson</w:t>
      </w:r>
      <w:r w:rsidR="00BE2899">
        <w:rPr>
          <w:i/>
          <w:lang w:val="fr-FR"/>
        </w:rPr>
        <w:t xml:space="preserve"> c. Suède</w:t>
      </w:r>
      <w:r w:rsidR="000E7792" w:rsidRPr="00C2548D">
        <w:rPr>
          <w:i/>
          <w:lang w:val="fr-FR"/>
        </w:rPr>
        <w:t xml:space="preserve">, </w:t>
      </w:r>
      <w:r w:rsidR="00BE2899">
        <w:rPr>
          <w:lang w:val="fr-FR"/>
        </w:rPr>
        <w:t xml:space="preserve">22 juin 1989, </w:t>
      </w:r>
      <w:r w:rsidR="000E7792" w:rsidRPr="00C2548D">
        <w:rPr>
          <w:lang w:val="fr-FR"/>
        </w:rPr>
        <w:t>§</w:t>
      </w:r>
      <w:r w:rsidR="005D0E24">
        <w:rPr>
          <w:lang w:val="fr-FR"/>
        </w:rPr>
        <w:t> </w:t>
      </w:r>
      <w:r w:rsidR="000E7792" w:rsidRPr="00C2548D">
        <w:rPr>
          <w:lang w:val="fr-FR"/>
        </w:rPr>
        <w:t>71, série A n</w:t>
      </w:r>
      <w:r w:rsidR="000E7792" w:rsidRPr="00C2548D">
        <w:rPr>
          <w:vertAlign w:val="superscript"/>
          <w:lang w:val="fr-FR"/>
        </w:rPr>
        <w:t>o</w:t>
      </w:r>
      <w:r w:rsidR="005D0E24">
        <w:rPr>
          <w:lang w:val="fr-FR"/>
        </w:rPr>
        <w:t> </w:t>
      </w:r>
      <w:r w:rsidR="000E7792" w:rsidRPr="00C2548D">
        <w:rPr>
          <w:lang w:val="fr-FR"/>
        </w:rPr>
        <w:t xml:space="preserve">156, et </w:t>
      </w:r>
      <w:proofErr w:type="spellStart"/>
      <w:r w:rsidR="00C311B3">
        <w:rPr>
          <w:i/>
          <w:lang w:val="fr-FR"/>
        </w:rPr>
        <w:t>Margareta</w:t>
      </w:r>
      <w:proofErr w:type="spellEnd"/>
      <w:r w:rsidR="00C311B3">
        <w:rPr>
          <w:i/>
          <w:lang w:val="fr-FR"/>
        </w:rPr>
        <w:t xml:space="preserve"> et Roger </w:t>
      </w:r>
      <w:r w:rsidR="000E7792" w:rsidRPr="00C2548D">
        <w:rPr>
          <w:i/>
          <w:lang w:val="fr-FR"/>
        </w:rPr>
        <w:t>Andersson c. Suède,</w:t>
      </w:r>
      <w:r w:rsidR="000E7792" w:rsidRPr="00C2548D">
        <w:rPr>
          <w:lang w:val="fr-FR"/>
        </w:rPr>
        <w:t xml:space="preserve"> 25 février 1992, §</w:t>
      </w:r>
      <w:r w:rsidR="005D0E24">
        <w:rPr>
          <w:lang w:val="fr-FR"/>
        </w:rPr>
        <w:t> </w:t>
      </w:r>
      <w:r w:rsidR="000E7792" w:rsidRPr="00C2548D">
        <w:rPr>
          <w:lang w:val="fr-FR"/>
        </w:rPr>
        <w:t>91, série A n</w:t>
      </w:r>
      <w:r w:rsidR="000E7792" w:rsidRPr="00C2548D">
        <w:rPr>
          <w:vertAlign w:val="superscript"/>
          <w:lang w:val="fr-FR"/>
        </w:rPr>
        <w:t>o</w:t>
      </w:r>
      <w:r w:rsidR="005D0E24">
        <w:rPr>
          <w:lang w:val="fr-FR"/>
        </w:rPr>
        <w:t> </w:t>
      </w:r>
      <w:r w:rsidR="000E7792" w:rsidRPr="00C2548D">
        <w:rPr>
          <w:lang w:val="fr-FR"/>
        </w:rPr>
        <w:t xml:space="preserve">226-A ; </w:t>
      </w:r>
      <w:r w:rsidR="000E7792" w:rsidRPr="00C2548D">
        <w:rPr>
          <w:i/>
          <w:lang w:val="fr-FR"/>
        </w:rPr>
        <w:t>P.F.</w:t>
      </w:r>
      <w:r w:rsidR="00C311B3">
        <w:rPr>
          <w:lang w:val="fr-FR"/>
        </w:rPr>
        <w:t> </w:t>
      </w:r>
      <w:r w:rsidR="00C311B3">
        <w:rPr>
          <w:i/>
          <w:lang w:val="fr-FR"/>
        </w:rPr>
        <w:t>c. </w:t>
      </w:r>
      <w:r w:rsidR="000E7792" w:rsidRPr="00C2548D">
        <w:rPr>
          <w:i/>
          <w:lang w:val="fr-FR"/>
        </w:rPr>
        <w:t>Pologne</w:t>
      </w:r>
      <w:r w:rsidR="000E7792" w:rsidRPr="00C2548D">
        <w:rPr>
          <w:snapToGrid w:val="0"/>
          <w:lang w:val="fr-FR"/>
        </w:rPr>
        <w:t xml:space="preserve">, </w:t>
      </w:r>
      <w:r w:rsidR="000E7792" w:rsidRPr="00C2548D">
        <w:rPr>
          <w:lang w:val="fr-FR"/>
        </w:rPr>
        <w:t>n</w:t>
      </w:r>
      <w:r w:rsidR="000E7792" w:rsidRPr="00C2548D">
        <w:rPr>
          <w:vertAlign w:val="superscript"/>
          <w:lang w:val="fr-FR"/>
        </w:rPr>
        <w:t>o</w:t>
      </w:r>
      <w:r w:rsidR="005D0E24">
        <w:rPr>
          <w:lang w:val="fr-FR"/>
        </w:rPr>
        <w:t> </w:t>
      </w:r>
      <w:r w:rsidR="000E7792" w:rsidRPr="00C2548D">
        <w:rPr>
          <w:lang w:val="fr-FR"/>
        </w:rPr>
        <w:t>2210/12</w:t>
      </w:r>
      <w:r w:rsidR="000E7792" w:rsidRPr="00C2548D">
        <w:rPr>
          <w:snapToGrid w:val="0"/>
          <w:lang w:val="fr-FR"/>
        </w:rPr>
        <w:t>, § 55, 16</w:t>
      </w:r>
      <w:r w:rsidR="000E7792" w:rsidRPr="00C2548D">
        <w:rPr>
          <w:lang w:val="fr-FR"/>
        </w:rPr>
        <w:t> septembre</w:t>
      </w:r>
      <w:r w:rsidR="000E7792" w:rsidRPr="00C2548D">
        <w:rPr>
          <w:snapToGrid w:val="0"/>
          <w:lang w:val="fr-FR"/>
        </w:rPr>
        <w:t xml:space="preserve"> 2014</w:t>
      </w:r>
      <w:r w:rsidR="000E7792" w:rsidRPr="00C2548D">
        <w:rPr>
          <w:lang w:val="fr-FR"/>
        </w:rPr>
        <w:t xml:space="preserve">). </w:t>
      </w:r>
      <w:r w:rsidR="000E7792" w:rsidRPr="000E6D7E">
        <w:rPr>
          <w:lang w:val="fr-FR"/>
        </w:rPr>
        <w:t>Dans ce genre d</w:t>
      </w:r>
      <w:r w:rsidR="00E91700">
        <w:rPr>
          <w:lang w:val="fr-FR"/>
        </w:rPr>
        <w:t>’</w:t>
      </w:r>
      <w:r w:rsidR="000E7792" w:rsidRPr="000E6D7E">
        <w:rPr>
          <w:lang w:val="fr-FR"/>
        </w:rPr>
        <w:t>affaire, le caractère adéquat d</w:t>
      </w:r>
      <w:r w:rsidR="00E91700">
        <w:rPr>
          <w:lang w:val="fr-FR"/>
        </w:rPr>
        <w:t>’</w:t>
      </w:r>
      <w:r w:rsidR="000E7792" w:rsidRPr="000E6D7E">
        <w:rPr>
          <w:lang w:val="fr-FR"/>
        </w:rPr>
        <w:t>une mesure se juge à la rapidité de sa mise en œuvre</w:t>
      </w:r>
      <w:r w:rsidR="00CD4DB6">
        <w:rPr>
          <w:lang w:val="fr-FR"/>
        </w:rPr>
        <w:t>,</w:t>
      </w:r>
      <w:r w:rsidR="000E7792" w:rsidRPr="000E6D7E">
        <w:rPr>
          <w:lang w:val="fr-FR"/>
        </w:rPr>
        <w:t xml:space="preserve"> </w:t>
      </w:r>
      <w:r w:rsidR="00981EE0">
        <w:rPr>
          <w:lang w:val="fr-FR"/>
        </w:rPr>
        <w:t xml:space="preserve">car </w:t>
      </w:r>
      <w:r w:rsidR="00981EE0" w:rsidRPr="00B316E6">
        <w:rPr>
          <w:lang w:val="fr-FR"/>
        </w:rPr>
        <w:t>le passage du temps peut avoir des conséquences irrémédiables sur les relations entre l</w:t>
      </w:r>
      <w:r w:rsidR="00E91700">
        <w:rPr>
          <w:lang w:val="fr-FR"/>
        </w:rPr>
        <w:t>’</w:t>
      </w:r>
      <w:r w:rsidR="00981EE0" w:rsidRPr="00B316E6">
        <w:rPr>
          <w:lang w:val="fr-FR"/>
        </w:rPr>
        <w:t>enfant et le parent qui ne vit pas avec lui</w:t>
      </w:r>
      <w:r w:rsidR="00981EE0" w:rsidRPr="000E6D7E">
        <w:rPr>
          <w:lang w:val="fr-FR"/>
        </w:rPr>
        <w:t xml:space="preserve"> </w:t>
      </w:r>
      <w:r w:rsidR="000E7792" w:rsidRPr="000E6D7E">
        <w:rPr>
          <w:lang w:val="fr-FR"/>
        </w:rPr>
        <w:t>(</w:t>
      </w:r>
      <w:proofErr w:type="spellStart"/>
      <w:r w:rsidR="000E7792" w:rsidRPr="000E6D7E">
        <w:rPr>
          <w:i/>
          <w:lang w:val="fr-FR"/>
        </w:rPr>
        <w:t>Maumousseau</w:t>
      </w:r>
      <w:proofErr w:type="spellEnd"/>
      <w:r w:rsidR="000E7792" w:rsidRPr="000E6D7E">
        <w:rPr>
          <w:i/>
          <w:lang w:val="fr-FR"/>
        </w:rPr>
        <w:t xml:space="preserve"> et Washington c. France</w:t>
      </w:r>
      <w:r w:rsidR="000E7792" w:rsidRPr="000E6D7E">
        <w:rPr>
          <w:lang w:val="fr-FR"/>
        </w:rPr>
        <w:t>, n</w:t>
      </w:r>
      <w:r w:rsidR="000E7792" w:rsidRPr="000E6D7E">
        <w:rPr>
          <w:vertAlign w:val="superscript"/>
          <w:lang w:val="fr-FR"/>
        </w:rPr>
        <w:t>o</w:t>
      </w:r>
      <w:r w:rsidR="003D6E90">
        <w:rPr>
          <w:rFonts w:eastAsia="Times New Roman"/>
          <w:lang w:val="fr-FR"/>
        </w:rPr>
        <w:t> 39388/05</w:t>
      </w:r>
      <w:r w:rsidR="000E7792" w:rsidRPr="000E6D7E">
        <w:rPr>
          <w:lang w:val="fr-FR"/>
        </w:rPr>
        <w:t xml:space="preserve"> §</w:t>
      </w:r>
      <w:r w:rsidR="005D0E24">
        <w:rPr>
          <w:lang w:val="fr-FR"/>
        </w:rPr>
        <w:t> </w:t>
      </w:r>
      <w:r w:rsidR="00C311B3">
        <w:rPr>
          <w:lang w:val="fr-FR"/>
        </w:rPr>
        <w:t>83, 6 décembre </w:t>
      </w:r>
      <w:r w:rsidR="000E7792" w:rsidRPr="000E6D7E">
        <w:rPr>
          <w:lang w:val="fr-FR"/>
        </w:rPr>
        <w:t xml:space="preserve">2007 ; </w:t>
      </w:r>
      <w:r w:rsidR="000E7792">
        <w:rPr>
          <w:i/>
          <w:lang w:val="fr-FR"/>
        </w:rPr>
        <w:t>Zhou c. </w:t>
      </w:r>
      <w:r w:rsidR="000E7792" w:rsidRPr="000E6D7E">
        <w:rPr>
          <w:i/>
          <w:lang w:val="fr-FR"/>
        </w:rPr>
        <w:t>Italie</w:t>
      </w:r>
      <w:r w:rsidR="000E7792" w:rsidRPr="000E6D7E">
        <w:rPr>
          <w:snapToGrid w:val="0"/>
          <w:lang w:val="fr-FR"/>
        </w:rPr>
        <w:t xml:space="preserve">, </w:t>
      </w:r>
      <w:r w:rsidR="000E7792" w:rsidRPr="000E6D7E">
        <w:rPr>
          <w:lang w:val="fr-FR"/>
        </w:rPr>
        <w:t>précité, § 48</w:t>
      </w:r>
      <w:r w:rsidR="000E7792">
        <w:rPr>
          <w:lang w:val="fr-FR"/>
        </w:rPr>
        <w:t xml:space="preserve"> ; </w:t>
      </w:r>
      <w:proofErr w:type="spellStart"/>
      <w:r w:rsidR="000E7792" w:rsidRPr="003B0C32">
        <w:rPr>
          <w:i/>
          <w:lang w:val="fr-FR"/>
        </w:rPr>
        <w:t>Akinnibosun</w:t>
      </w:r>
      <w:proofErr w:type="spellEnd"/>
      <w:r w:rsidR="000E7792" w:rsidRPr="003B0C32">
        <w:rPr>
          <w:i/>
          <w:lang w:val="fr-FR"/>
        </w:rPr>
        <w:t xml:space="preserve"> c. </w:t>
      </w:r>
      <w:r w:rsidR="000E7792">
        <w:rPr>
          <w:i/>
          <w:lang w:val="fr-FR"/>
        </w:rPr>
        <w:t xml:space="preserve">Italie, </w:t>
      </w:r>
      <w:r w:rsidR="000E7792">
        <w:rPr>
          <w:lang w:val="fr-FR"/>
        </w:rPr>
        <w:t>précité, § 63</w:t>
      </w:r>
      <w:r w:rsidR="000E7792" w:rsidRPr="000E6D7E">
        <w:rPr>
          <w:lang w:val="fr-FR"/>
        </w:rPr>
        <w:t>).</w:t>
      </w:r>
    </w:p>
    <w:p w:rsidR="00230F89" w:rsidRPr="00230F89" w:rsidRDefault="00230F89" w:rsidP="00230F89">
      <w:pPr>
        <w:pStyle w:val="ECHRHeading4"/>
        <w:rPr>
          <w:highlight w:val="yellow"/>
          <w:lang w:val="fr-FR"/>
        </w:rPr>
      </w:pPr>
      <w:r w:rsidRPr="00230F89">
        <w:rPr>
          <w:lang w:val="fr-FR"/>
        </w:rPr>
        <w:lastRenderedPageBreak/>
        <w:t>b)  Application de ces principes</w:t>
      </w:r>
    </w:p>
    <w:p w:rsidR="00230F89" w:rsidRDefault="00230F89" w:rsidP="00230F89">
      <w:pPr>
        <w:pStyle w:val="ECHRPara"/>
        <w:rPr>
          <w:rFonts w:eastAsia="Times New Roman"/>
          <w:lang w:val="fr-FR"/>
        </w:rPr>
      </w:pPr>
      <w:r>
        <w:rPr>
          <w:rFonts w:eastAsia="Times New Roman"/>
          <w:lang w:val="fr-FR"/>
        </w:rPr>
        <w:fldChar w:fldCharType="begin"/>
      </w:r>
      <w:r>
        <w:rPr>
          <w:rFonts w:eastAsia="Times New Roman"/>
          <w:lang w:val="fr-FR"/>
        </w:rPr>
        <w:instrText xml:space="preserve"> SEQ level0 \*arabic </w:instrText>
      </w:r>
      <w:r>
        <w:rPr>
          <w:rFonts w:eastAsia="Times New Roman"/>
          <w:lang w:val="fr-FR"/>
        </w:rPr>
        <w:fldChar w:fldCharType="separate"/>
      </w:r>
      <w:r w:rsidR="0096090F">
        <w:rPr>
          <w:rFonts w:eastAsia="Times New Roman"/>
          <w:noProof/>
          <w:lang w:val="fr-FR"/>
        </w:rPr>
        <w:t>43</w:t>
      </w:r>
      <w:r>
        <w:rPr>
          <w:rFonts w:eastAsia="Times New Roman"/>
          <w:lang w:val="fr-FR"/>
        </w:rPr>
        <w:fldChar w:fldCharType="end"/>
      </w:r>
      <w:r>
        <w:rPr>
          <w:rFonts w:eastAsia="Times New Roman"/>
          <w:lang w:val="fr-FR"/>
        </w:rPr>
        <w:t>.  </w:t>
      </w:r>
      <w:r w:rsidRPr="00230F89">
        <w:rPr>
          <w:rFonts w:eastAsia="Times New Roman"/>
          <w:lang w:val="fr-FR"/>
        </w:rPr>
        <w:t>La Cour considère que le point décisif en l</w:t>
      </w:r>
      <w:r w:rsidR="00E91700">
        <w:rPr>
          <w:rFonts w:eastAsia="Times New Roman"/>
          <w:lang w:val="fr-FR"/>
        </w:rPr>
        <w:t>’</w:t>
      </w:r>
      <w:r w:rsidRPr="00230F89">
        <w:rPr>
          <w:rFonts w:eastAsia="Times New Roman"/>
          <w:lang w:val="fr-FR"/>
        </w:rPr>
        <w:t xml:space="preserve">espèce consiste donc à savoir si, avant de </w:t>
      </w:r>
      <w:r w:rsidRPr="00230F89">
        <w:rPr>
          <w:lang w:val="fr-FR"/>
        </w:rPr>
        <w:t xml:space="preserve">supprimer le lien de filiation maternelle, </w:t>
      </w:r>
      <w:r w:rsidRPr="00230F89">
        <w:rPr>
          <w:rFonts w:eastAsia="Times New Roman"/>
          <w:lang w:val="fr-FR"/>
        </w:rPr>
        <w:t xml:space="preserve">les autorités nationales ont </w:t>
      </w:r>
      <w:r w:rsidR="00F918F0">
        <w:rPr>
          <w:rFonts w:eastAsia="Times New Roman"/>
          <w:lang w:val="fr-FR"/>
        </w:rPr>
        <w:t xml:space="preserve">bien </w:t>
      </w:r>
      <w:r w:rsidRPr="00230F89">
        <w:rPr>
          <w:rFonts w:eastAsia="Times New Roman"/>
          <w:lang w:val="fr-FR"/>
        </w:rPr>
        <w:t>pris toutes les mesures nécessaires et adéquates que l</w:t>
      </w:r>
      <w:r w:rsidR="00E91700">
        <w:rPr>
          <w:rFonts w:eastAsia="Times New Roman"/>
          <w:lang w:val="fr-FR"/>
        </w:rPr>
        <w:t>’</w:t>
      </w:r>
      <w:r w:rsidRPr="00230F89">
        <w:rPr>
          <w:rFonts w:eastAsia="Times New Roman"/>
          <w:lang w:val="fr-FR"/>
        </w:rPr>
        <w:t>on pouvait raisonnabl</w:t>
      </w:r>
      <w:r w:rsidR="00F171D7">
        <w:rPr>
          <w:rFonts w:eastAsia="Times New Roman"/>
          <w:lang w:val="fr-FR"/>
        </w:rPr>
        <w:t>ement exiger d</w:t>
      </w:r>
      <w:r w:rsidR="00E91700">
        <w:rPr>
          <w:rFonts w:eastAsia="Times New Roman"/>
          <w:lang w:val="fr-FR"/>
        </w:rPr>
        <w:t>’</w:t>
      </w:r>
      <w:r w:rsidR="00F171D7">
        <w:rPr>
          <w:rFonts w:eastAsia="Times New Roman"/>
          <w:lang w:val="fr-FR"/>
        </w:rPr>
        <w:t xml:space="preserve">elles pour que les </w:t>
      </w:r>
      <w:r w:rsidRPr="00230F89">
        <w:rPr>
          <w:rFonts w:eastAsia="Times New Roman"/>
          <w:lang w:val="fr-FR"/>
        </w:rPr>
        <w:t>enfant</w:t>
      </w:r>
      <w:r w:rsidR="00F171D7">
        <w:rPr>
          <w:rFonts w:eastAsia="Times New Roman"/>
          <w:lang w:val="fr-FR"/>
        </w:rPr>
        <w:t>s</w:t>
      </w:r>
      <w:r w:rsidRPr="00230F89">
        <w:rPr>
          <w:rFonts w:eastAsia="Times New Roman"/>
          <w:lang w:val="fr-FR"/>
        </w:rPr>
        <w:t xml:space="preserve"> puisse</w:t>
      </w:r>
      <w:r w:rsidR="00F171D7">
        <w:rPr>
          <w:rFonts w:eastAsia="Times New Roman"/>
          <w:lang w:val="fr-FR"/>
        </w:rPr>
        <w:t>nt</w:t>
      </w:r>
      <w:r w:rsidRPr="00230F89">
        <w:rPr>
          <w:rFonts w:eastAsia="Times New Roman"/>
          <w:lang w:val="fr-FR"/>
        </w:rPr>
        <w:t xml:space="preserve"> mener une vie</w:t>
      </w:r>
      <w:r w:rsidR="00F171D7">
        <w:rPr>
          <w:rFonts w:eastAsia="Times New Roman"/>
          <w:lang w:val="fr-FR"/>
        </w:rPr>
        <w:t xml:space="preserve"> familiale normale au sein de leur</w:t>
      </w:r>
      <w:r w:rsidRPr="00230F89">
        <w:rPr>
          <w:rFonts w:eastAsia="Times New Roman"/>
          <w:lang w:val="fr-FR"/>
        </w:rPr>
        <w:t xml:space="preserve"> propre famille.</w:t>
      </w:r>
    </w:p>
    <w:p w:rsidR="00F171D7" w:rsidRDefault="00F171D7" w:rsidP="00230F89">
      <w:pPr>
        <w:pStyle w:val="ECHRPara"/>
        <w:rPr>
          <w:rFonts w:eastAsia="Times New Roman"/>
          <w:lang w:val="fr-FR"/>
        </w:rPr>
      </w:pPr>
      <w:r>
        <w:rPr>
          <w:rFonts w:eastAsia="Times New Roman"/>
          <w:lang w:val="fr-FR"/>
        </w:rPr>
        <w:fldChar w:fldCharType="begin"/>
      </w:r>
      <w:r>
        <w:rPr>
          <w:rFonts w:eastAsia="Times New Roman"/>
          <w:lang w:val="fr-FR"/>
        </w:rPr>
        <w:instrText xml:space="preserve"> SEQ level0 \*arabic </w:instrText>
      </w:r>
      <w:r>
        <w:rPr>
          <w:rFonts w:eastAsia="Times New Roman"/>
          <w:lang w:val="fr-FR"/>
        </w:rPr>
        <w:fldChar w:fldCharType="separate"/>
      </w:r>
      <w:r w:rsidR="0096090F">
        <w:rPr>
          <w:rFonts w:eastAsia="Times New Roman"/>
          <w:noProof/>
          <w:lang w:val="fr-FR"/>
        </w:rPr>
        <w:t>44</w:t>
      </w:r>
      <w:r>
        <w:rPr>
          <w:rFonts w:eastAsia="Times New Roman"/>
          <w:lang w:val="fr-FR"/>
        </w:rPr>
        <w:fldChar w:fldCharType="end"/>
      </w:r>
      <w:r>
        <w:rPr>
          <w:rFonts w:eastAsia="Times New Roman"/>
          <w:lang w:val="fr-FR"/>
        </w:rPr>
        <w:t>.  </w:t>
      </w:r>
      <w:r w:rsidR="004306A0">
        <w:rPr>
          <w:rFonts w:eastAsia="Times New Roman"/>
          <w:lang w:val="fr-FR"/>
        </w:rPr>
        <w:t xml:space="preserve">La Cour note que les autorités italiennes ont pris en charge la requérante et ses enfants </w:t>
      </w:r>
      <w:r w:rsidR="00FC34B3">
        <w:rPr>
          <w:rFonts w:eastAsia="Times New Roman"/>
          <w:lang w:val="fr-FR"/>
        </w:rPr>
        <w:t>à partir d</w:t>
      </w:r>
      <w:r w:rsidR="00E91700">
        <w:rPr>
          <w:rFonts w:eastAsia="Times New Roman"/>
          <w:lang w:val="fr-FR"/>
        </w:rPr>
        <w:t>’</w:t>
      </w:r>
      <w:r w:rsidR="004306A0">
        <w:rPr>
          <w:rFonts w:eastAsia="Times New Roman"/>
          <w:lang w:val="fr-FR"/>
        </w:rPr>
        <w:t>août 2009</w:t>
      </w:r>
      <w:r w:rsidR="00FB6961">
        <w:rPr>
          <w:rFonts w:eastAsia="Times New Roman"/>
          <w:lang w:val="fr-FR"/>
        </w:rPr>
        <w:t>, lorsque les services sociaux informèrent le tribunal que les enfants avaient été hospitalisés à cause de l</w:t>
      </w:r>
      <w:r w:rsidR="00E91700">
        <w:rPr>
          <w:rFonts w:eastAsia="Times New Roman"/>
          <w:lang w:val="fr-FR"/>
        </w:rPr>
        <w:t>’</w:t>
      </w:r>
      <w:r w:rsidR="00FB6961">
        <w:rPr>
          <w:rFonts w:eastAsia="Times New Roman"/>
          <w:lang w:val="fr-FR"/>
        </w:rPr>
        <w:t>ingestion accidentelle de médicaments. Les enfants furent éloignés de la famille et placés dans un institut.</w:t>
      </w:r>
    </w:p>
    <w:p w:rsidR="00C31CD3" w:rsidRDefault="00FB6961" w:rsidP="00230F89">
      <w:pPr>
        <w:pStyle w:val="ECHRPara"/>
        <w:rPr>
          <w:lang w:val="fr-FR"/>
        </w:rPr>
      </w:pPr>
      <w:r>
        <w:rPr>
          <w:lang w:val="fr-FR"/>
        </w:rPr>
        <w:fldChar w:fldCharType="begin"/>
      </w:r>
      <w:r>
        <w:rPr>
          <w:lang w:val="fr-FR"/>
        </w:rPr>
        <w:instrText xml:space="preserve"> SEQ level0 \*arabic </w:instrText>
      </w:r>
      <w:r>
        <w:rPr>
          <w:lang w:val="fr-FR"/>
        </w:rPr>
        <w:fldChar w:fldCharType="separate"/>
      </w:r>
      <w:r w:rsidR="0096090F">
        <w:rPr>
          <w:noProof/>
          <w:lang w:val="fr-FR"/>
        </w:rPr>
        <w:t>45</w:t>
      </w:r>
      <w:r>
        <w:rPr>
          <w:lang w:val="fr-FR"/>
        </w:rPr>
        <w:fldChar w:fldCharType="end"/>
      </w:r>
      <w:r>
        <w:rPr>
          <w:lang w:val="fr-FR"/>
        </w:rPr>
        <w:t>.  </w:t>
      </w:r>
      <w:r w:rsidR="00E531D6">
        <w:rPr>
          <w:lang w:val="fr-FR"/>
        </w:rPr>
        <w:t>La Cour relève qu</w:t>
      </w:r>
      <w:r w:rsidR="00E91700">
        <w:rPr>
          <w:lang w:val="fr-FR"/>
        </w:rPr>
        <w:t>’</w:t>
      </w:r>
      <w:r w:rsidR="00E531D6">
        <w:rPr>
          <w:lang w:val="fr-FR"/>
        </w:rPr>
        <w:t xml:space="preserve">un </w:t>
      </w:r>
      <w:r w:rsidR="008375D7">
        <w:rPr>
          <w:lang w:val="fr-FR"/>
        </w:rPr>
        <w:t xml:space="preserve">premier </w:t>
      </w:r>
      <w:r w:rsidR="00E531D6">
        <w:rPr>
          <w:lang w:val="fr-FR"/>
        </w:rPr>
        <w:t xml:space="preserve">projet de soutien à la famille fut mis en place et </w:t>
      </w:r>
      <w:r w:rsidR="00FC34B3">
        <w:rPr>
          <w:lang w:val="fr-FR"/>
        </w:rPr>
        <w:t>qu</w:t>
      </w:r>
      <w:r w:rsidR="00E91700">
        <w:rPr>
          <w:lang w:val="fr-FR"/>
        </w:rPr>
        <w:t>’</w:t>
      </w:r>
      <w:r w:rsidR="00E531D6">
        <w:rPr>
          <w:lang w:val="fr-FR"/>
        </w:rPr>
        <w:t>en janvier 2010</w:t>
      </w:r>
      <w:r w:rsidR="00BE2899">
        <w:rPr>
          <w:lang w:val="fr-FR"/>
        </w:rPr>
        <w:t>,</w:t>
      </w:r>
      <w:r w:rsidR="00E531D6">
        <w:rPr>
          <w:lang w:val="fr-FR"/>
        </w:rPr>
        <w:t xml:space="preserve"> les enfants rentrèrent chez leurs parents. La déci</w:t>
      </w:r>
      <w:r w:rsidR="007704E1">
        <w:rPr>
          <w:lang w:val="fr-FR"/>
        </w:rPr>
        <w:t>sion du tribunal se fondait sur l</w:t>
      </w:r>
      <w:r w:rsidR="00E91700">
        <w:rPr>
          <w:lang w:val="fr-FR"/>
        </w:rPr>
        <w:t>’</w:t>
      </w:r>
      <w:r w:rsidR="007704E1">
        <w:rPr>
          <w:lang w:val="fr-FR"/>
        </w:rPr>
        <w:t>attestation, de la part des experts, d</w:t>
      </w:r>
      <w:r w:rsidR="00E91700">
        <w:rPr>
          <w:lang w:val="fr-FR"/>
        </w:rPr>
        <w:t>’</w:t>
      </w:r>
      <w:r w:rsidR="007704E1">
        <w:rPr>
          <w:lang w:val="fr-FR"/>
        </w:rPr>
        <w:t>une réaction positive des parents au parcours</w:t>
      </w:r>
      <w:r w:rsidR="006A4E4B">
        <w:rPr>
          <w:lang w:val="fr-FR"/>
        </w:rPr>
        <w:t xml:space="preserve"> de soutien </w:t>
      </w:r>
      <w:r w:rsidR="00FC34B3">
        <w:rPr>
          <w:lang w:val="fr-FR"/>
        </w:rPr>
        <w:t>familial</w:t>
      </w:r>
      <w:r w:rsidR="006A4E4B">
        <w:rPr>
          <w:lang w:val="fr-FR"/>
        </w:rPr>
        <w:t xml:space="preserve"> </w:t>
      </w:r>
      <w:r w:rsidR="00303A3A">
        <w:rPr>
          <w:lang w:val="fr-FR"/>
        </w:rPr>
        <w:t xml:space="preserve">élaboré </w:t>
      </w:r>
      <w:r w:rsidR="007704E1">
        <w:rPr>
          <w:lang w:val="fr-FR"/>
        </w:rPr>
        <w:t xml:space="preserve">par les services sociaux et </w:t>
      </w:r>
      <w:r w:rsidR="00E531D6">
        <w:rPr>
          <w:lang w:val="fr-FR"/>
        </w:rPr>
        <w:t>sur l</w:t>
      </w:r>
      <w:r w:rsidR="00E91700">
        <w:rPr>
          <w:lang w:val="fr-FR"/>
        </w:rPr>
        <w:t>’</w:t>
      </w:r>
      <w:r w:rsidR="00E531D6">
        <w:rPr>
          <w:lang w:val="fr-FR"/>
        </w:rPr>
        <w:t>existence d</w:t>
      </w:r>
      <w:r w:rsidR="00E91700">
        <w:rPr>
          <w:lang w:val="fr-FR"/>
        </w:rPr>
        <w:t>’</w:t>
      </w:r>
      <w:r w:rsidR="00E531D6">
        <w:rPr>
          <w:lang w:val="fr-FR"/>
        </w:rPr>
        <w:t xml:space="preserve">un lien </w:t>
      </w:r>
      <w:r w:rsidR="007704E1">
        <w:rPr>
          <w:lang w:val="fr-FR"/>
        </w:rPr>
        <w:t>affectif très fort entre la requérante</w:t>
      </w:r>
      <w:r w:rsidR="00E531D6">
        <w:rPr>
          <w:lang w:val="fr-FR"/>
        </w:rPr>
        <w:t xml:space="preserve"> et les enfants.</w:t>
      </w:r>
    </w:p>
    <w:p w:rsidR="00230F89" w:rsidRDefault="00B53A90" w:rsidP="00230F89">
      <w:pPr>
        <w:pStyle w:val="ECHRPara"/>
        <w:rPr>
          <w:lang w:val="fr-FR"/>
        </w:rPr>
      </w:pPr>
      <w:r>
        <w:rPr>
          <w:lang w:val="fr-FR"/>
        </w:rPr>
        <w:fldChar w:fldCharType="begin"/>
      </w:r>
      <w:r>
        <w:rPr>
          <w:lang w:val="fr-FR"/>
        </w:rPr>
        <w:instrText xml:space="preserve"> SEQ level0 \*arabic </w:instrText>
      </w:r>
      <w:r>
        <w:rPr>
          <w:lang w:val="fr-FR"/>
        </w:rPr>
        <w:fldChar w:fldCharType="separate"/>
      </w:r>
      <w:r w:rsidR="0096090F">
        <w:rPr>
          <w:noProof/>
          <w:lang w:val="fr-FR"/>
        </w:rPr>
        <w:t>46</w:t>
      </w:r>
      <w:r>
        <w:rPr>
          <w:lang w:val="fr-FR"/>
        </w:rPr>
        <w:fldChar w:fldCharType="end"/>
      </w:r>
      <w:r w:rsidR="00957223">
        <w:rPr>
          <w:lang w:val="fr-FR"/>
        </w:rPr>
        <w:t>.</w:t>
      </w:r>
      <w:r w:rsidR="0074457F">
        <w:rPr>
          <w:lang w:val="fr-FR"/>
        </w:rPr>
        <w:t>  </w:t>
      </w:r>
      <w:r w:rsidR="00957223">
        <w:rPr>
          <w:lang w:val="fr-FR"/>
        </w:rPr>
        <w:t>E</w:t>
      </w:r>
      <w:r w:rsidR="00CB4219">
        <w:rPr>
          <w:lang w:val="fr-FR"/>
        </w:rPr>
        <w:t>n mars 2010</w:t>
      </w:r>
      <w:r w:rsidR="00957223">
        <w:rPr>
          <w:lang w:val="fr-FR"/>
        </w:rPr>
        <w:t>, le père des enfa</w:t>
      </w:r>
      <w:r w:rsidR="001A0C01">
        <w:rPr>
          <w:lang w:val="fr-FR"/>
        </w:rPr>
        <w:t>nts quitta le domicile familial</w:t>
      </w:r>
      <w:r w:rsidR="006E0E3D">
        <w:rPr>
          <w:lang w:val="fr-FR"/>
        </w:rPr>
        <w:t xml:space="preserve"> et</w:t>
      </w:r>
      <w:r w:rsidR="00957223">
        <w:rPr>
          <w:lang w:val="fr-FR"/>
        </w:rPr>
        <w:t xml:space="preserve"> la requérante fut hospitalisée en raison de l</w:t>
      </w:r>
      <w:r w:rsidR="00E91700">
        <w:rPr>
          <w:lang w:val="fr-FR"/>
        </w:rPr>
        <w:t>’</w:t>
      </w:r>
      <w:r w:rsidR="00957223">
        <w:rPr>
          <w:lang w:val="fr-FR"/>
        </w:rPr>
        <w:t>aggravation</w:t>
      </w:r>
      <w:r w:rsidR="00057ED7">
        <w:rPr>
          <w:lang w:val="fr-FR"/>
        </w:rPr>
        <w:t xml:space="preserve"> de son état de santé</w:t>
      </w:r>
      <w:r w:rsidR="00957223">
        <w:rPr>
          <w:lang w:val="fr-FR"/>
        </w:rPr>
        <w:t xml:space="preserve">. </w:t>
      </w:r>
      <w:r w:rsidR="00CD4DB6">
        <w:rPr>
          <w:lang w:val="fr-FR"/>
        </w:rPr>
        <w:t>À</w:t>
      </w:r>
      <w:r w:rsidR="00957223">
        <w:rPr>
          <w:lang w:val="fr-FR"/>
        </w:rPr>
        <w:t xml:space="preserve"> la lumière des développements intervenus, les enfants furent </w:t>
      </w:r>
      <w:r w:rsidR="00F918F0">
        <w:rPr>
          <w:lang w:val="fr-FR"/>
        </w:rPr>
        <w:t xml:space="preserve">donc </w:t>
      </w:r>
      <w:r w:rsidR="00957223">
        <w:rPr>
          <w:lang w:val="fr-FR"/>
        </w:rPr>
        <w:t xml:space="preserve">à nouveau </w:t>
      </w:r>
      <w:r w:rsidR="006E0E3D">
        <w:rPr>
          <w:lang w:val="fr-FR"/>
        </w:rPr>
        <w:t>éloignés de la</w:t>
      </w:r>
      <w:r w:rsidR="007A5157">
        <w:rPr>
          <w:lang w:val="fr-FR"/>
        </w:rPr>
        <w:t xml:space="preserve"> famille et </w:t>
      </w:r>
      <w:r w:rsidR="00CB4219">
        <w:rPr>
          <w:lang w:val="fr-FR"/>
        </w:rPr>
        <w:t>placés en institut et une procédure d</w:t>
      </w:r>
      <w:r w:rsidR="00E91700">
        <w:rPr>
          <w:lang w:val="fr-FR"/>
        </w:rPr>
        <w:t>’</w:t>
      </w:r>
      <w:r w:rsidR="00CB4219">
        <w:rPr>
          <w:lang w:val="fr-FR"/>
        </w:rPr>
        <w:t>adoptabilité fut ouverte.</w:t>
      </w:r>
    </w:p>
    <w:p w:rsidR="00CB4219" w:rsidRPr="0008092E" w:rsidRDefault="00CB4219" w:rsidP="00B467D3">
      <w:pPr>
        <w:pStyle w:val="ECHRPara"/>
        <w:rPr>
          <w:lang w:val="fr-FR"/>
        </w:rPr>
      </w:pPr>
      <w:r>
        <w:rPr>
          <w:lang w:val="fr-FR"/>
        </w:rPr>
        <w:fldChar w:fldCharType="begin"/>
      </w:r>
      <w:r>
        <w:rPr>
          <w:lang w:val="fr-FR"/>
        </w:rPr>
        <w:instrText xml:space="preserve"> SEQ level0 \*arabic </w:instrText>
      </w:r>
      <w:r>
        <w:rPr>
          <w:lang w:val="fr-FR"/>
        </w:rPr>
        <w:fldChar w:fldCharType="separate"/>
      </w:r>
      <w:r w:rsidR="0096090F">
        <w:rPr>
          <w:noProof/>
          <w:lang w:val="fr-FR"/>
        </w:rPr>
        <w:t>47</w:t>
      </w:r>
      <w:r>
        <w:rPr>
          <w:lang w:val="fr-FR"/>
        </w:rPr>
        <w:fldChar w:fldCharType="end"/>
      </w:r>
      <w:r>
        <w:rPr>
          <w:lang w:val="fr-FR"/>
        </w:rPr>
        <w:t>.  </w:t>
      </w:r>
      <w:r w:rsidR="0008092E">
        <w:rPr>
          <w:rFonts w:ascii="Times New Roman" w:hAnsi="Times New Roman"/>
          <w:szCs w:val="24"/>
          <w:lang w:val="fr-FR"/>
        </w:rPr>
        <w:t xml:space="preserve">La Cour note que </w:t>
      </w:r>
      <w:r w:rsidR="0008092E" w:rsidRPr="0008092E">
        <w:rPr>
          <w:rFonts w:ascii="Times New Roman" w:hAnsi="Times New Roman"/>
          <w:bCs/>
          <w:szCs w:val="24"/>
          <w:lang w:val="fr-FR"/>
        </w:rPr>
        <w:t>l</w:t>
      </w:r>
      <w:r w:rsidR="00E91700">
        <w:rPr>
          <w:rFonts w:ascii="Times New Roman" w:hAnsi="Times New Roman"/>
          <w:bCs/>
          <w:szCs w:val="24"/>
          <w:lang w:val="fr-FR"/>
        </w:rPr>
        <w:t>’</w:t>
      </w:r>
      <w:r w:rsidR="0008092E" w:rsidRPr="0008092E">
        <w:rPr>
          <w:rFonts w:ascii="Times New Roman" w:hAnsi="Times New Roman"/>
          <w:bCs/>
          <w:szCs w:val="24"/>
          <w:lang w:val="fr-FR"/>
        </w:rPr>
        <w:t>expert</w:t>
      </w:r>
      <w:r w:rsidR="0008092E">
        <w:rPr>
          <w:rFonts w:ascii="Times New Roman" w:hAnsi="Times New Roman"/>
          <w:szCs w:val="24"/>
          <w:lang w:val="fr-FR"/>
        </w:rPr>
        <w:t xml:space="preserve"> commis par le tribunal envisagea un parcours de rapprochement parents-enfant</w:t>
      </w:r>
      <w:r w:rsidR="00DE1053">
        <w:rPr>
          <w:rFonts w:ascii="Times New Roman" w:hAnsi="Times New Roman"/>
          <w:szCs w:val="24"/>
          <w:lang w:val="fr-FR"/>
        </w:rPr>
        <w:t>s</w:t>
      </w:r>
      <w:r w:rsidR="0008092E">
        <w:rPr>
          <w:rFonts w:ascii="Times New Roman" w:hAnsi="Times New Roman"/>
          <w:szCs w:val="24"/>
          <w:lang w:val="fr-FR"/>
        </w:rPr>
        <w:t xml:space="preserve">, avec une intensification des rencontres et un réexamen de la situation après six mois. La solution proposée se fondait sur </w:t>
      </w:r>
      <w:r w:rsidR="0008092E" w:rsidRPr="0008092E">
        <w:rPr>
          <w:rFonts w:ascii="Times New Roman" w:hAnsi="Times New Roman"/>
          <w:bCs/>
          <w:szCs w:val="24"/>
          <w:lang w:val="fr-FR"/>
        </w:rPr>
        <w:t>l</w:t>
      </w:r>
      <w:r w:rsidR="00E91700">
        <w:rPr>
          <w:rFonts w:ascii="Times New Roman" w:hAnsi="Times New Roman"/>
          <w:bCs/>
          <w:szCs w:val="24"/>
          <w:lang w:val="fr-FR"/>
        </w:rPr>
        <w:t>’</w:t>
      </w:r>
      <w:r w:rsidR="0008092E" w:rsidRPr="0008092E">
        <w:rPr>
          <w:rFonts w:ascii="Times New Roman" w:hAnsi="Times New Roman"/>
          <w:bCs/>
          <w:szCs w:val="24"/>
          <w:lang w:val="fr-FR"/>
        </w:rPr>
        <w:t>existence de liens affectifs forts parents-enfants</w:t>
      </w:r>
      <w:r w:rsidR="0008092E">
        <w:rPr>
          <w:rFonts w:ascii="Times New Roman" w:hAnsi="Times New Roman"/>
          <w:szCs w:val="24"/>
          <w:lang w:val="fr-FR"/>
        </w:rPr>
        <w:t>, ainsi que sur l</w:t>
      </w:r>
      <w:r w:rsidR="00E91700">
        <w:rPr>
          <w:rFonts w:ascii="Times New Roman" w:hAnsi="Times New Roman"/>
          <w:szCs w:val="24"/>
          <w:lang w:val="fr-FR"/>
        </w:rPr>
        <w:t>’</w:t>
      </w:r>
      <w:r w:rsidR="0008092E">
        <w:rPr>
          <w:rFonts w:ascii="Times New Roman" w:hAnsi="Times New Roman"/>
          <w:szCs w:val="24"/>
          <w:lang w:val="fr-FR"/>
        </w:rPr>
        <w:t>évaluation globalement positive de la capacité des parents d</w:t>
      </w:r>
      <w:r w:rsidR="00E91700">
        <w:rPr>
          <w:rFonts w:ascii="Times New Roman" w:hAnsi="Times New Roman"/>
          <w:szCs w:val="24"/>
          <w:lang w:val="fr-FR"/>
        </w:rPr>
        <w:t>’</w:t>
      </w:r>
      <w:r w:rsidR="0008092E">
        <w:rPr>
          <w:rFonts w:ascii="Times New Roman" w:hAnsi="Times New Roman"/>
          <w:szCs w:val="24"/>
          <w:lang w:val="fr-FR"/>
        </w:rPr>
        <w:t>exercer leur rôle et sur leur disposition à collaborer avec les services sociaux. La Cour remarque que l</w:t>
      </w:r>
      <w:r w:rsidR="00E91700">
        <w:rPr>
          <w:rFonts w:ascii="Times New Roman" w:hAnsi="Times New Roman"/>
          <w:szCs w:val="24"/>
          <w:lang w:val="fr-FR"/>
        </w:rPr>
        <w:t>’</w:t>
      </w:r>
      <w:r w:rsidR="0008092E">
        <w:rPr>
          <w:rFonts w:ascii="Times New Roman" w:hAnsi="Times New Roman"/>
          <w:szCs w:val="24"/>
          <w:lang w:val="fr-FR"/>
        </w:rPr>
        <w:t>expertise en question fut déposée au greffe le 13 janvier 2011 et c</w:t>
      </w:r>
      <w:r w:rsidR="00E91700">
        <w:rPr>
          <w:rFonts w:ascii="Times New Roman" w:hAnsi="Times New Roman"/>
          <w:szCs w:val="24"/>
          <w:lang w:val="fr-FR"/>
        </w:rPr>
        <w:t>’</w:t>
      </w:r>
      <w:r w:rsidR="0008092E">
        <w:rPr>
          <w:rFonts w:ascii="Times New Roman" w:hAnsi="Times New Roman"/>
          <w:szCs w:val="24"/>
          <w:lang w:val="fr-FR"/>
        </w:rPr>
        <w:t>est seulement deux mois après, à savoir le 1</w:t>
      </w:r>
      <w:r w:rsidR="0008092E">
        <w:rPr>
          <w:rFonts w:ascii="Times New Roman" w:hAnsi="Times New Roman"/>
          <w:szCs w:val="24"/>
          <w:vertAlign w:val="superscript"/>
          <w:lang w:val="fr-FR"/>
        </w:rPr>
        <w:t>er</w:t>
      </w:r>
      <w:r w:rsidR="00D96C2D">
        <w:rPr>
          <w:rFonts w:ascii="Times New Roman" w:hAnsi="Times New Roman"/>
          <w:szCs w:val="24"/>
          <w:lang w:val="fr-FR"/>
        </w:rPr>
        <w:t> mars </w:t>
      </w:r>
      <w:r w:rsidR="0008092E">
        <w:rPr>
          <w:rFonts w:ascii="Times New Roman" w:hAnsi="Times New Roman"/>
          <w:szCs w:val="24"/>
          <w:lang w:val="fr-FR"/>
        </w:rPr>
        <w:t>2011, que le tribunal, contrairement aux indications de l</w:t>
      </w:r>
      <w:r w:rsidR="00E91700">
        <w:rPr>
          <w:rFonts w:ascii="Times New Roman" w:hAnsi="Times New Roman"/>
          <w:szCs w:val="24"/>
          <w:lang w:val="fr-FR"/>
        </w:rPr>
        <w:t>’</w:t>
      </w:r>
      <w:r w:rsidR="0008092E">
        <w:rPr>
          <w:rFonts w:ascii="Times New Roman" w:hAnsi="Times New Roman"/>
          <w:szCs w:val="24"/>
          <w:lang w:val="fr-FR"/>
        </w:rPr>
        <w:t>expert, a déclaré les enfants adoptables et ordonné l</w:t>
      </w:r>
      <w:r w:rsidR="00E91700">
        <w:rPr>
          <w:rFonts w:ascii="Times New Roman" w:hAnsi="Times New Roman"/>
          <w:szCs w:val="24"/>
          <w:lang w:val="fr-FR"/>
        </w:rPr>
        <w:t>’</w:t>
      </w:r>
      <w:r w:rsidR="0008092E">
        <w:rPr>
          <w:rFonts w:ascii="Times New Roman" w:hAnsi="Times New Roman"/>
          <w:szCs w:val="24"/>
          <w:lang w:val="fr-FR"/>
        </w:rPr>
        <w:t xml:space="preserve">interruption des rencontres. </w:t>
      </w:r>
      <w:r w:rsidR="0008092E" w:rsidRPr="0008092E">
        <w:rPr>
          <w:rFonts w:ascii="Times New Roman" w:hAnsi="Times New Roman"/>
          <w:bCs/>
          <w:szCs w:val="24"/>
          <w:lang w:val="fr-FR"/>
        </w:rPr>
        <w:t>La décision de couper de manière immédiate et définitive le lien maternel a été prise très rapidement, sans aucune analyse attentive de l</w:t>
      </w:r>
      <w:r w:rsidR="00E91700">
        <w:rPr>
          <w:rFonts w:ascii="Times New Roman" w:hAnsi="Times New Roman"/>
          <w:bCs/>
          <w:szCs w:val="24"/>
          <w:lang w:val="fr-FR"/>
        </w:rPr>
        <w:t>’</w:t>
      </w:r>
      <w:r w:rsidR="0008092E" w:rsidRPr="0008092E">
        <w:rPr>
          <w:rFonts w:ascii="Times New Roman" w:hAnsi="Times New Roman"/>
          <w:bCs/>
          <w:szCs w:val="24"/>
          <w:lang w:val="fr-FR"/>
        </w:rPr>
        <w:t>incidence de la mesure d</w:t>
      </w:r>
      <w:r w:rsidR="00E91700">
        <w:rPr>
          <w:rFonts w:ascii="Times New Roman" w:hAnsi="Times New Roman"/>
          <w:bCs/>
          <w:szCs w:val="24"/>
          <w:lang w:val="fr-FR"/>
        </w:rPr>
        <w:t>’</w:t>
      </w:r>
      <w:r w:rsidR="0008092E" w:rsidRPr="0008092E">
        <w:rPr>
          <w:rFonts w:ascii="Times New Roman" w:hAnsi="Times New Roman"/>
          <w:bCs/>
          <w:szCs w:val="24"/>
          <w:lang w:val="fr-FR"/>
        </w:rPr>
        <w:t>adoption sur les personnes concernées et en dépit des dispositions de la loi selon lesquelles la déclaration d</w:t>
      </w:r>
      <w:r w:rsidR="00E91700">
        <w:rPr>
          <w:rFonts w:ascii="Times New Roman" w:hAnsi="Times New Roman"/>
          <w:bCs/>
          <w:szCs w:val="24"/>
          <w:lang w:val="fr-FR"/>
        </w:rPr>
        <w:t>’</w:t>
      </w:r>
      <w:r w:rsidR="0008092E" w:rsidRPr="0008092E">
        <w:rPr>
          <w:rFonts w:ascii="Times New Roman" w:hAnsi="Times New Roman"/>
          <w:bCs/>
          <w:szCs w:val="24"/>
          <w:lang w:val="fr-FR"/>
        </w:rPr>
        <w:t>adoptabilité doit rester l</w:t>
      </w:r>
      <w:r w:rsidR="00E91700">
        <w:rPr>
          <w:rFonts w:ascii="Times New Roman" w:hAnsi="Times New Roman"/>
          <w:bCs/>
          <w:szCs w:val="24"/>
          <w:lang w:val="fr-FR"/>
        </w:rPr>
        <w:t>’</w:t>
      </w:r>
      <w:r w:rsidR="0008092E" w:rsidRPr="0008092E">
        <w:rPr>
          <w:rFonts w:ascii="Times New Roman" w:hAnsi="Times New Roman"/>
          <w:bCs/>
          <w:i/>
          <w:iCs/>
          <w:szCs w:val="24"/>
          <w:lang w:val="fr-FR"/>
        </w:rPr>
        <w:t>extrema ratio.</w:t>
      </w:r>
      <w:r w:rsidR="0008092E" w:rsidRPr="0008092E">
        <w:rPr>
          <w:rFonts w:ascii="Times New Roman" w:hAnsi="Times New Roman"/>
          <w:i/>
          <w:iCs/>
          <w:szCs w:val="24"/>
          <w:lang w:val="fr-FR"/>
        </w:rPr>
        <w:t xml:space="preserve"> </w:t>
      </w:r>
      <w:r w:rsidR="0008092E" w:rsidRPr="0008092E">
        <w:rPr>
          <w:rFonts w:ascii="Times New Roman" w:hAnsi="Times New Roman"/>
          <w:bCs/>
          <w:szCs w:val="24"/>
          <w:lang w:val="fr-FR"/>
        </w:rPr>
        <w:t>De ce fait, le tribunal, en refusant de prendre en considération d</w:t>
      </w:r>
      <w:r w:rsidR="00E91700">
        <w:rPr>
          <w:rFonts w:ascii="Times New Roman" w:hAnsi="Times New Roman"/>
          <w:bCs/>
          <w:szCs w:val="24"/>
          <w:lang w:val="fr-FR"/>
        </w:rPr>
        <w:t>’</w:t>
      </w:r>
      <w:r w:rsidR="0008092E" w:rsidRPr="0008092E">
        <w:rPr>
          <w:rFonts w:ascii="Times New Roman" w:hAnsi="Times New Roman"/>
          <w:bCs/>
          <w:szCs w:val="24"/>
          <w:lang w:val="fr-FR"/>
        </w:rPr>
        <w:t>autres solutions moins radicales praticables en l</w:t>
      </w:r>
      <w:r w:rsidR="00E91700">
        <w:rPr>
          <w:rFonts w:ascii="Times New Roman" w:hAnsi="Times New Roman"/>
          <w:bCs/>
          <w:szCs w:val="24"/>
          <w:lang w:val="fr-FR"/>
        </w:rPr>
        <w:t>’</w:t>
      </w:r>
      <w:r w:rsidR="0008092E" w:rsidRPr="0008092E">
        <w:rPr>
          <w:rFonts w:ascii="Times New Roman" w:hAnsi="Times New Roman"/>
          <w:bCs/>
          <w:szCs w:val="24"/>
          <w:lang w:val="fr-FR"/>
        </w:rPr>
        <w:t>espèce, telles que le projet de soutien familial envisagé par l</w:t>
      </w:r>
      <w:r w:rsidR="00E91700">
        <w:rPr>
          <w:rFonts w:ascii="Times New Roman" w:hAnsi="Times New Roman"/>
          <w:bCs/>
          <w:szCs w:val="24"/>
          <w:lang w:val="fr-FR"/>
        </w:rPr>
        <w:t>’</w:t>
      </w:r>
      <w:r w:rsidR="0008092E" w:rsidRPr="0008092E">
        <w:rPr>
          <w:rFonts w:ascii="Times New Roman" w:hAnsi="Times New Roman"/>
          <w:bCs/>
          <w:szCs w:val="24"/>
          <w:lang w:val="fr-FR"/>
        </w:rPr>
        <w:t>expertise, a écarté définitivement toute possibilité pour le projet d</w:t>
      </w:r>
      <w:r w:rsidR="00E91700">
        <w:rPr>
          <w:rFonts w:ascii="Times New Roman" w:hAnsi="Times New Roman"/>
          <w:bCs/>
          <w:szCs w:val="24"/>
          <w:lang w:val="fr-FR"/>
        </w:rPr>
        <w:t>’</w:t>
      </w:r>
      <w:r w:rsidR="0008092E" w:rsidRPr="0008092E">
        <w:rPr>
          <w:rFonts w:ascii="Times New Roman" w:hAnsi="Times New Roman"/>
          <w:bCs/>
          <w:szCs w:val="24"/>
          <w:lang w:val="fr-FR"/>
        </w:rPr>
        <w:t>aboutir et pour la requérante de renouer des liens avec ses enfants</w:t>
      </w:r>
      <w:r w:rsidR="0008092E" w:rsidRPr="0008092E">
        <w:rPr>
          <w:rFonts w:ascii="Times New Roman" w:hAnsi="Times New Roman"/>
          <w:szCs w:val="24"/>
          <w:lang w:val="fr-FR"/>
        </w:rPr>
        <w:t>.</w:t>
      </w:r>
    </w:p>
    <w:p w:rsidR="00C31CD3" w:rsidRDefault="0059012B" w:rsidP="00230F89">
      <w:pPr>
        <w:pStyle w:val="ECHRPara"/>
        <w:rPr>
          <w:rFonts w:eastAsia="Times New Roman"/>
          <w:lang w:val="fr-FR"/>
        </w:rPr>
      </w:pPr>
      <w:r>
        <w:rPr>
          <w:lang w:val="fr-FR"/>
        </w:rPr>
        <w:fldChar w:fldCharType="begin"/>
      </w:r>
      <w:r>
        <w:rPr>
          <w:lang w:val="fr-FR"/>
        </w:rPr>
        <w:instrText xml:space="preserve"> SEQ level0 \*arabic </w:instrText>
      </w:r>
      <w:r>
        <w:rPr>
          <w:lang w:val="fr-FR"/>
        </w:rPr>
        <w:fldChar w:fldCharType="separate"/>
      </w:r>
      <w:r w:rsidR="0096090F">
        <w:rPr>
          <w:noProof/>
          <w:lang w:val="fr-FR"/>
        </w:rPr>
        <w:t>48</w:t>
      </w:r>
      <w:r>
        <w:rPr>
          <w:lang w:val="fr-FR"/>
        </w:rPr>
        <w:fldChar w:fldCharType="end"/>
      </w:r>
      <w:r>
        <w:rPr>
          <w:lang w:val="fr-FR"/>
        </w:rPr>
        <w:t>. </w:t>
      </w:r>
      <w:r w:rsidR="0074457F">
        <w:rPr>
          <w:lang w:val="fr-FR"/>
        </w:rPr>
        <w:t> </w:t>
      </w:r>
      <w:r w:rsidRPr="0059012B">
        <w:rPr>
          <w:rFonts w:eastAsia="Times New Roman"/>
          <w:lang w:val="fr-FR"/>
        </w:rPr>
        <w:t xml:space="preserve">La Cour rappelle </w:t>
      </w:r>
      <w:r w:rsidR="005537BA">
        <w:rPr>
          <w:lang w:val="fr-FR"/>
        </w:rPr>
        <w:t>que p</w:t>
      </w:r>
      <w:r w:rsidR="005537BA" w:rsidRPr="005537BA">
        <w:rPr>
          <w:lang w:val="fr-FR"/>
        </w:rPr>
        <w:t>our un parent et son enfant, être ensemble représente un élément fondamental de la vie familiale</w:t>
      </w:r>
      <w:r w:rsidR="005537BA">
        <w:rPr>
          <w:lang w:val="fr-FR"/>
        </w:rPr>
        <w:t xml:space="preserve"> (</w:t>
      </w:r>
      <w:r w:rsidR="00E91700">
        <w:rPr>
          <w:i/>
          <w:lang w:val="fr-FR"/>
        </w:rPr>
        <w:t xml:space="preserve">Couillard </w:t>
      </w:r>
      <w:proofErr w:type="spellStart"/>
      <w:r w:rsidR="00C311B3">
        <w:rPr>
          <w:i/>
          <w:lang w:val="fr-FR"/>
        </w:rPr>
        <w:t>Maugery</w:t>
      </w:r>
      <w:proofErr w:type="spellEnd"/>
      <w:r w:rsidR="00C311B3">
        <w:rPr>
          <w:i/>
          <w:lang w:val="fr-FR"/>
        </w:rPr>
        <w:t> </w:t>
      </w:r>
      <w:r w:rsidR="005537BA" w:rsidRPr="005537BA">
        <w:rPr>
          <w:i/>
          <w:lang w:val="fr-FR"/>
        </w:rPr>
        <w:t>c. France</w:t>
      </w:r>
      <w:r w:rsidR="005537BA" w:rsidRPr="005537BA">
        <w:rPr>
          <w:lang w:val="fr-FR"/>
        </w:rPr>
        <w:t xml:space="preserve">, </w:t>
      </w:r>
      <w:r w:rsidR="00422876">
        <w:rPr>
          <w:lang w:val="fr-FR"/>
        </w:rPr>
        <w:t xml:space="preserve">précité, </w:t>
      </w:r>
      <w:r w:rsidR="005537BA" w:rsidRPr="005537BA">
        <w:rPr>
          <w:lang w:val="fr-FR"/>
        </w:rPr>
        <w:t>§</w:t>
      </w:r>
      <w:r w:rsidR="005537BA">
        <w:rPr>
          <w:lang w:val="fr-FR"/>
        </w:rPr>
        <w:t xml:space="preserve"> 237) et</w:t>
      </w:r>
      <w:r w:rsidR="005537BA">
        <w:rPr>
          <w:rFonts w:eastAsia="Times New Roman"/>
          <w:lang w:val="fr-FR"/>
        </w:rPr>
        <w:t xml:space="preserve"> </w:t>
      </w:r>
      <w:r>
        <w:rPr>
          <w:rFonts w:eastAsia="Times New Roman"/>
          <w:lang w:val="fr-FR"/>
        </w:rPr>
        <w:t xml:space="preserve">que </w:t>
      </w:r>
      <w:r w:rsidRPr="00230F89">
        <w:rPr>
          <w:rFonts w:eastAsia="Times New Roman"/>
          <w:lang w:val="fr-FR"/>
        </w:rPr>
        <w:t xml:space="preserve">des mesures aboutissant à briser </w:t>
      </w:r>
      <w:r w:rsidRPr="00230F89">
        <w:rPr>
          <w:rFonts w:eastAsia="Times New Roman"/>
          <w:lang w:val="fr-FR"/>
        </w:rPr>
        <w:lastRenderedPageBreak/>
        <w:t xml:space="preserve">les liens entre un enfant et sa famille ne </w:t>
      </w:r>
      <w:r>
        <w:rPr>
          <w:rFonts w:eastAsia="Times New Roman"/>
          <w:lang w:val="fr-FR"/>
        </w:rPr>
        <w:t xml:space="preserve">peuvent être </w:t>
      </w:r>
      <w:r w:rsidRPr="00230F89">
        <w:rPr>
          <w:rFonts w:eastAsia="Times New Roman"/>
          <w:lang w:val="fr-FR"/>
        </w:rPr>
        <w:t>appliquées que dans des circonstances exceptionnelles</w:t>
      </w:r>
      <w:r w:rsidR="005537BA">
        <w:rPr>
          <w:rFonts w:eastAsia="Times New Roman"/>
          <w:lang w:val="fr-FR"/>
        </w:rPr>
        <w:t>. La Cour</w:t>
      </w:r>
      <w:r>
        <w:rPr>
          <w:rFonts w:eastAsia="Times New Roman"/>
          <w:lang w:val="fr-FR"/>
        </w:rPr>
        <w:t xml:space="preserve"> souligne </w:t>
      </w:r>
      <w:r w:rsidR="005537BA">
        <w:rPr>
          <w:rFonts w:eastAsia="Times New Roman"/>
          <w:lang w:val="fr-FR"/>
        </w:rPr>
        <w:t xml:space="preserve">également </w:t>
      </w:r>
      <w:r>
        <w:rPr>
          <w:rFonts w:eastAsia="Times New Roman"/>
          <w:lang w:val="fr-FR"/>
        </w:rPr>
        <w:t>que l</w:t>
      </w:r>
      <w:r w:rsidR="00E91700">
        <w:rPr>
          <w:rFonts w:eastAsia="Times New Roman"/>
          <w:lang w:val="fr-FR"/>
        </w:rPr>
        <w:t>’</w:t>
      </w:r>
      <w:r>
        <w:rPr>
          <w:rFonts w:eastAsia="Times New Roman"/>
          <w:lang w:val="fr-FR"/>
        </w:rPr>
        <w:t>article</w:t>
      </w:r>
      <w:r w:rsidR="005D0E24">
        <w:rPr>
          <w:rFonts w:eastAsia="Times New Roman"/>
          <w:lang w:val="fr-FR"/>
        </w:rPr>
        <w:t> </w:t>
      </w:r>
      <w:r>
        <w:rPr>
          <w:rFonts w:eastAsia="Times New Roman"/>
          <w:lang w:val="fr-FR"/>
        </w:rPr>
        <w:t>8 de la Convention impose à l</w:t>
      </w:r>
      <w:r w:rsidR="00E91700">
        <w:rPr>
          <w:rFonts w:eastAsia="Times New Roman"/>
          <w:lang w:val="fr-FR"/>
        </w:rPr>
        <w:t>’</w:t>
      </w:r>
      <w:r>
        <w:rPr>
          <w:rFonts w:eastAsia="Times New Roman"/>
          <w:lang w:val="fr-FR"/>
        </w:rPr>
        <w:t>État de prendre les mesures propres à préserver, au</w:t>
      </w:r>
      <w:r w:rsidR="00DE1053">
        <w:rPr>
          <w:rFonts w:eastAsia="Times New Roman"/>
          <w:lang w:val="fr-FR"/>
        </w:rPr>
        <w:t>tant que possible, le lien mère-</w:t>
      </w:r>
      <w:r>
        <w:rPr>
          <w:rFonts w:eastAsia="Times New Roman"/>
          <w:lang w:val="fr-FR"/>
        </w:rPr>
        <w:t>enfant</w:t>
      </w:r>
      <w:r w:rsidR="005537BA">
        <w:rPr>
          <w:rFonts w:eastAsia="Times New Roman"/>
          <w:lang w:val="fr-FR"/>
        </w:rPr>
        <w:t xml:space="preserve"> (</w:t>
      </w:r>
      <w:r w:rsidR="00D96C2D">
        <w:rPr>
          <w:rFonts w:eastAsia="Times New Roman"/>
          <w:i/>
          <w:lang w:val="fr-FR"/>
        </w:rPr>
        <w:t>Zhou </w:t>
      </w:r>
      <w:r w:rsidR="005537BA" w:rsidRPr="005537BA">
        <w:rPr>
          <w:rFonts w:eastAsia="Times New Roman"/>
          <w:i/>
          <w:lang w:val="fr-FR"/>
        </w:rPr>
        <w:t>c. Italie</w:t>
      </w:r>
      <w:r w:rsidR="005537BA">
        <w:rPr>
          <w:rFonts w:eastAsia="Times New Roman"/>
          <w:lang w:val="fr-FR"/>
        </w:rPr>
        <w:t>, précité, §</w:t>
      </w:r>
      <w:r w:rsidR="00E91700">
        <w:rPr>
          <w:rFonts w:eastAsia="Times New Roman"/>
          <w:lang w:val="fr-FR"/>
        </w:rPr>
        <w:t> </w:t>
      </w:r>
      <w:r w:rsidR="005537BA">
        <w:rPr>
          <w:rFonts w:eastAsia="Times New Roman"/>
          <w:lang w:val="fr-FR"/>
        </w:rPr>
        <w:t>59)</w:t>
      </w:r>
      <w:r>
        <w:rPr>
          <w:rFonts w:eastAsia="Times New Roman"/>
          <w:lang w:val="fr-FR"/>
        </w:rPr>
        <w:t>.</w:t>
      </w:r>
    </w:p>
    <w:p w:rsidR="0059012B" w:rsidRPr="006E0E3D" w:rsidRDefault="0059012B" w:rsidP="00230F89">
      <w:pPr>
        <w:pStyle w:val="ECHRPara"/>
        <w:rPr>
          <w:lang w:val="fr-FR"/>
        </w:rPr>
      </w:pPr>
      <w:r>
        <w:rPr>
          <w:rFonts w:eastAsia="Times New Roman"/>
          <w:lang w:val="fr-FR"/>
        </w:rPr>
        <w:fldChar w:fldCharType="begin"/>
      </w:r>
      <w:r>
        <w:rPr>
          <w:rFonts w:eastAsia="Times New Roman"/>
          <w:lang w:val="fr-FR"/>
        </w:rPr>
        <w:instrText xml:space="preserve"> SEQ level0 \*arabic </w:instrText>
      </w:r>
      <w:r>
        <w:rPr>
          <w:rFonts w:eastAsia="Times New Roman"/>
          <w:lang w:val="fr-FR"/>
        </w:rPr>
        <w:fldChar w:fldCharType="separate"/>
      </w:r>
      <w:r w:rsidR="0096090F">
        <w:rPr>
          <w:rFonts w:eastAsia="Times New Roman"/>
          <w:noProof/>
          <w:lang w:val="fr-FR"/>
        </w:rPr>
        <w:t>49</w:t>
      </w:r>
      <w:r>
        <w:rPr>
          <w:rFonts w:eastAsia="Times New Roman"/>
          <w:lang w:val="fr-FR"/>
        </w:rPr>
        <w:fldChar w:fldCharType="end"/>
      </w:r>
      <w:r>
        <w:rPr>
          <w:rFonts w:eastAsia="Times New Roman"/>
          <w:lang w:val="fr-FR"/>
        </w:rPr>
        <w:t xml:space="preserve">.  La Cour relève </w:t>
      </w:r>
      <w:r w:rsidRPr="0059012B">
        <w:rPr>
          <w:rFonts w:eastAsia="Times New Roman"/>
          <w:lang w:val="fr-FR"/>
        </w:rPr>
        <w:t>que</w:t>
      </w:r>
      <w:r w:rsidR="004B4A82">
        <w:rPr>
          <w:rFonts w:eastAsia="Times New Roman"/>
          <w:lang w:val="fr-FR"/>
        </w:rPr>
        <w:t>,</w:t>
      </w:r>
      <w:r w:rsidRPr="0059012B">
        <w:rPr>
          <w:rFonts w:eastAsia="Times New Roman"/>
          <w:lang w:val="fr-FR"/>
        </w:rPr>
        <w:t xml:space="preserve"> dans des cas si délicats et </w:t>
      </w:r>
      <w:r w:rsidR="00763253">
        <w:rPr>
          <w:rFonts w:eastAsia="Times New Roman"/>
          <w:lang w:val="fr-FR"/>
        </w:rPr>
        <w:t xml:space="preserve">si </w:t>
      </w:r>
      <w:r w:rsidRPr="0059012B">
        <w:rPr>
          <w:rFonts w:eastAsia="Times New Roman"/>
          <w:lang w:val="fr-FR"/>
        </w:rPr>
        <w:t>complexes, la marge d</w:t>
      </w:r>
      <w:r w:rsidR="00E91700">
        <w:rPr>
          <w:rFonts w:eastAsia="Times New Roman"/>
          <w:lang w:val="fr-FR"/>
        </w:rPr>
        <w:t>’</w:t>
      </w:r>
      <w:r w:rsidRPr="0059012B">
        <w:rPr>
          <w:rFonts w:eastAsia="Times New Roman"/>
          <w:lang w:val="fr-FR"/>
        </w:rPr>
        <w:t>appréciation laissée aux autorités nationales compétentes varie selon la nature des questions en litige et la gravité des intérêts en jeu. Si les autorités jouissent d</w:t>
      </w:r>
      <w:r w:rsidR="00E91700">
        <w:rPr>
          <w:rFonts w:eastAsia="Times New Roman"/>
          <w:lang w:val="fr-FR"/>
        </w:rPr>
        <w:t>’</w:t>
      </w:r>
      <w:r w:rsidRPr="0059012B">
        <w:rPr>
          <w:rFonts w:eastAsia="Times New Roman"/>
          <w:lang w:val="fr-FR"/>
        </w:rPr>
        <w:t>une grande latitude pour apprécier la nécessité de prendre en charge un enfant, en particulier lorsqu</w:t>
      </w:r>
      <w:r w:rsidR="00E91700">
        <w:rPr>
          <w:rFonts w:eastAsia="Times New Roman"/>
          <w:lang w:val="fr-FR"/>
        </w:rPr>
        <w:t>’</w:t>
      </w:r>
      <w:r w:rsidRPr="0059012B">
        <w:rPr>
          <w:rFonts w:eastAsia="Times New Roman"/>
          <w:lang w:val="fr-FR"/>
        </w:rPr>
        <w:t>il y a urgence, la Cour doit néanmoins avoir acquis la conviction que</w:t>
      </w:r>
      <w:r w:rsidR="004B4A82">
        <w:rPr>
          <w:rFonts w:eastAsia="Times New Roman"/>
          <w:lang w:val="fr-FR"/>
        </w:rPr>
        <w:t>,</w:t>
      </w:r>
      <w:r w:rsidRPr="0059012B">
        <w:rPr>
          <w:rFonts w:eastAsia="Times New Roman"/>
          <w:lang w:val="fr-FR"/>
        </w:rPr>
        <w:t xml:space="preserve"> dans l</w:t>
      </w:r>
      <w:r w:rsidR="00E91700">
        <w:rPr>
          <w:rFonts w:eastAsia="Times New Roman"/>
          <w:lang w:val="fr-FR"/>
        </w:rPr>
        <w:t>’</w:t>
      </w:r>
      <w:r w:rsidRPr="0059012B">
        <w:rPr>
          <w:rFonts w:eastAsia="Times New Roman"/>
          <w:lang w:val="fr-FR"/>
        </w:rPr>
        <w:t>affaire en question, il existait des circonstances justifiant le retrait de l</w:t>
      </w:r>
      <w:r w:rsidR="00E91700">
        <w:rPr>
          <w:rFonts w:eastAsia="Times New Roman"/>
          <w:lang w:val="fr-FR"/>
        </w:rPr>
        <w:t>’</w:t>
      </w:r>
      <w:r w:rsidRPr="0059012B">
        <w:rPr>
          <w:rFonts w:eastAsia="Times New Roman"/>
          <w:lang w:val="fr-FR"/>
        </w:rPr>
        <w:t>enfant. Il incombe à l</w:t>
      </w:r>
      <w:r w:rsidR="00E91700">
        <w:rPr>
          <w:rFonts w:eastAsia="Times New Roman"/>
          <w:lang w:val="fr-FR"/>
        </w:rPr>
        <w:t>’</w:t>
      </w:r>
      <w:r w:rsidRPr="0059012B">
        <w:rPr>
          <w:rFonts w:eastAsia="Times New Roman"/>
          <w:lang w:val="fr-FR"/>
        </w:rPr>
        <w:t>État défendeur d</w:t>
      </w:r>
      <w:r w:rsidR="00E91700">
        <w:rPr>
          <w:rFonts w:eastAsia="Times New Roman"/>
          <w:lang w:val="fr-FR"/>
        </w:rPr>
        <w:t>’</w:t>
      </w:r>
      <w:r w:rsidRPr="0059012B">
        <w:rPr>
          <w:rFonts w:eastAsia="Times New Roman"/>
          <w:lang w:val="fr-FR"/>
        </w:rPr>
        <w:t>établir que les autorités ont</w:t>
      </w:r>
      <w:r w:rsidR="00763253">
        <w:rPr>
          <w:rFonts w:eastAsia="Times New Roman"/>
          <w:lang w:val="fr-FR"/>
        </w:rPr>
        <w:t xml:space="preserve">, </w:t>
      </w:r>
      <w:r w:rsidR="00763253" w:rsidRPr="00763253">
        <w:rPr>
          <w:rFonts w:eastAsia="Times New Roman"/>
          <w:lang w:val="fr-FR"/>
        </w:rPr>
        <w:t>avant de mettre une pareille mesure à exécution</w:t>
      </w:r>
      <w:r w:rsidR="00763253">
        <w:rPr>
          <w:rFonts w:eastAsia="Times New Roman"/>
          <w:lang w:val="fr-FR"/>
        </w:rPr>
        <w:t>,</w:t>
      </w:r>
      <w:r w:rsidRPr="0059012B">
        <w:rPr>
          <w:rFonts w:eastAsia="Times New Roman"/>
          <w:lang w:val="fr-FR"/>
        </w:rPr>
        <w:t xml:space="preserve"> évalué avec soin l</w:t>
      </w:r>
      <w:r w:rsidR="00E91700">
        <w:rPr>
          <w:rFonts w:eastAsia="Times New Roman"/>
          <w:lang w:val="fr-FR"/>
        </w:rPr>
        <w:t>’</w:t>
      </w:r>
      <w:r w:rsidRPr="0059012B">
        <w:rPr>
          <w:rFonts w:eastAsia="Times New Roman"/>
          <w:lang w:val="fr-FR"/>
        </w:rPr>
        <w:t>incidence qu</w:t>
      </w:r>
      <w:r w:rsidR="00E91700">
        <w:rPr>
          <w:rFonts w:eastAsia="Times New Roman"/>
          <w:lang w:val="fr-FR"/>
        </w:rPr>
        <w:t>’</w:t>
      </w:r>
      <w:r w:rsidRPr="0059012B">
        <w:rPr>
          <w:rFonts w:eastAsia="Times New Roman"/>
          <w:lang w:val="fr-FR"/>
        </w:rPr>
        <w:t>aurait sur les parents et l</w:t>
      </w:r>
      <w:r w:rsidR="00E91700">
        <w:rPr>
          <w:rFonts w:eastAsia="Times New Roman"/>
          <w:lang w:val="fr-FR"/>
        </w:rPr>
        <w:t>’</w:t>
      </w:r>
      <w:r w:rsidRPr="0059012B">
        <w:rPr>
          <w:rFonts w:eastAsia="Times New Roman"/>
          <w:lang w:val="fr-FR"/>
        </w:rPr>
        <w:t>enfant la mesure d</w:t>
      </w:r>
      <w:r w:rsidR="00E91700">
        <w:rPr>
          <w:rFonts w:eastAsia="Times New Roman"/>
          <w:lang w:val="fr-FR"/>
        </w:rPr>
        <w:t>’</w:t>
      </w:r>
      <w:r w:rsidRPr="0059012B">
        <w:rPr>
          <w:rFonts w:eastAsia="Times New Roman"/>
          <w:lang w:val="fr-FR"/>
        </w:rPr>
        <w:t xml:space="preserve">adoption, ainsi que </w:t>
      </w:r>
      <w:r w:rsidR="00763253">
        <w:rPr>
          <w:rFonts w:eastAsia="Times New Roman"/>
          <w:lang w:val="fr-FR"/>
        </w:rPr>
        <w:t xml:space="preserve">la possibilité </w:t>
      </w:r>
      <w:r w:rsidRPr="0059012B">
        <w:rPr>
          <w:rFonts w:eastAsia="Times New Roman"/>
          <w:lang w:val="fr-FR"/>
        </w:rPr>
        <w:t>d</w:t>
      </w:r>
      <w:r w:rsidR="00E91700">
        <w:rPr>
          <w:rFonts w:eastAsia="Times New Roman"/>
          <w:lang w:val="fr-FR"/>
        </w:rPr>
        <w:t>’</w:t>
      </w:r>
      <w:r w:rsidRPr="0059012B">
        <w:rPr>
          <w:rFonts w:eastAsia="Times New Roman"/>
          <w:lang w:val="fr-FR"/>
        </w:rPr>
        <w:t>autres solutions que la prise en charge de l</w:t>
      </w:r>
      <w:r w:rsidR="00E91700">
        <w:rPr>
          <w:rFonts w:eastAsia="Times New Roman"/>
          <w:lang w:val="fr-FR"/>
        </w:rPr>
        <w:t>’</w:t>
      </w:r>
      <w:r w:rsidRPr="0059012B">
        <w:rPr>
          <w:rFonts w:eastAsia="Times New Roman"/>
          <w:lang w:val="fr-FR"/>
        </w:rPr>
        <w:t>enfant (</w:t>
      </w:r>
      <w:r w:rsidRPr="0059012B">
        <w:rPr>
          <w:rFonts w:eastAsia="Times New Roman"/>
          <w:i/>
          <w:lang w:val="fr-FR"/>
        </w:rPr>
        <w:t xml:space="preserve">K. et T. c. Finlande [GC], </w:t>
      </w:r>
      <w:r w:rsidR="006E0E3D" w:rsidRPr="006E0E3D">
        <w:rPr>
          <w:lang w:val="fr-FR"/>
        </w:rPr>
        <w:t>n</w:t>
      </w:r>
      <w:r w:rsidR="006E0E3D" w:rsidRPr="006E0E3D">
        <w:rPr>
          <w:vertAlign w:val="superscript"/>
          <w:lang w:val="fr-FR"/>
        </w:rPr>
        <w:t>o</w:t>
      </w:r>
      <w:r w:rsidR="003D6E90">
        <w:rPr>
          <w:rFonts w:eastAsia="Times New Roman"/>
          <w:lang w:val="fr-FR"/>
        </w:rPr>
        <w:t> </w:t>
      </w:r>
      <w:r w:rsidR="006E0E3D" w:rsidRPr="006E0E3D">
        <w:rPr>
          <w:lang w:val="fr-FR"/>
        </w:rPr>
        <w:t>25702/94, §</w:t>
      </w:r>
      <w:r w:rsidR="006E0E3D" w:rsidRPr="0059012B">
        <w:rPr>
          <w:rFonts w:eastAsia="Times New Roman"/>
          <w:lang w:val="fr-FR"/>
        </w:rPr>
        <w:t>166</w:t>
      </w:r>
      <w:r w:rsidR="006E0E3D" w:rsidRPr="006E0E3D">
        <w:rPr>
          <w:lang w:val="fr-FR"/>
        </w:rPr>
        <w:t>, CEDH</w:t>
      </w:r>
      <w:r w:rsidR="005D0E24">
        <w:rPr>
          <w:lang w:val="fr-FR"/>
        </w:rPr>
        <w:t> </w:t>
      </w:r>
      <w:r w:rsidR="006E0E3D" w:rsidRPr="006E0E3D">
        <w:rPr>
          <w:lang w:val="fr-FR"/>
        </w:rPr>
        <w:t>2001</w:t>
      </w:r>
      <w:r w:rsidR="006E0E3D" w:rsidRPr="006E0E3D">
        <w:rPr>
          <w:lang w:val="fr-FR"/>
        </w:rPr>
        <w:noBreakHyphen/>
        <w:t>VII</w:t>
      </w:r>
      <w:r w:rsidR="002D37D2">
        <w:rPr>
          <w:lang w:val="fr-FR"/>
        </w:rPr>
        <w:t> </w:t>
      </w:r>
      <w:r w:rsidRPr="0059012B">
        <w:rPr>
          <w:rFonts w:eastAsia="Times New Roman"/>
          <w:lang w:val="fr-FR"/>
        </w:rPr>
        <w:t xml:space="preserve">; </w:t>
      </w:r>
      <w:proofErr w:type="spellStart"/>
      <w:r w:rsidR="00EF1D6B" w:rsidRPr="00EF1D6B">
        <w:rPr>
          <w:i/>
          <w:lang w:val="fr-FR"/>
        </w:rPr>
        <w:t>Kutzner</w:t>
      </w:r>
      <w:proofErr w:type="spellEnd"/>
      <w:r w:rsidR="00EF1D6B" w:rsidRPr="00EF1D6B">
        <w:rPr>
          <w:i/>
          <w:lang w:val="fr-FR"/>
        </w:rPr>
        <w:t xml:space="preserve"> c. Allemagne</w:t>
      </w:r>
      <w:r w:rsidR="00EF1D6B" w:rsidRPr="00EF1D6B">
        <w:rPr>
          <w:lang w:val="fr-FR"/>
        </w:rPr>
        <w:t>, n</w:t>
      </w:r>
      <w:r w:rsidR="00EF1D6B" w:rsidRPr="00EF1D6B">
        <w:rPr>
          <w:vertAlign w:val="superscript"/>
          <w:lang w:val="fr-FR"/>
        </w:rPr>
        <w:t>o</w:t>
      </w:r>
      <w:r w:rsidR="005D0E24">
        <w:rPr>
          <w:lang w:val="fr-FR"/>
        </w:rPr>
        <w:t> </w:t>
      </w:r>
      <w:r w:rsidR="00EF1D6B" w:rsidRPr="00EF1D6B">
        <w:rPr>
          <w:lang w:val="fr-FR"/>
        </w:rPr>
        <w:t xml:space="preserve">46544/99, </w:t>
      </w:r>
      <w:r w:rsidR="00EF1D6B">
        <w:rPr>
          <w:lang w:val="fr-FR"/>
        </w:rPr>
        <w:t xml:space="preserve">§ 67, </w:t>
      </w:r>
      <w:r w:rsidR="00EF1D6B" w:rsidRPr="00EF1D6B">
        <w:rPr>
          <w:lang w:val="fr-FR"/>
        </w:rPr>
        <w:t>CEDH 2002</w:t>
      </w:r>
      <w:r w:rsidR="00EF1D6B" w:rsidRPr="00EF1D6B">
        <w:rPr>
          <w:lang w:val="fr-FR"/>
        </w:rPr>
        <w:noBreakHyphen/>
        <w:t>I</w:t>
      </w:r>
      <w:r w:rsidR="00EF1D6B">
        <w:rPr>
          <w:lang w:val="fr-FR"/>
        </w:rPr>
        <w:t>)</w:t>
      </w:r>
      <w:r w:rsidRPr="0059012B">
        <w:rPr>
          <w:rFonts w:eastAsia="Times New Roman"/>
          <w:lang w:val="fr-FR"/>
        </w:rPr>
        <w:t>.</w:t>
      </w:r>
    </w:p>
    <w:p w:rsidR="00C31CD3" w:rsidRDefault="00573EEB" w:rsidP="00FE1496">
      <w:pPr>
        <w:pStyle w:val="ECHRPara"/>
        <w:rPr>
          <w:lang w:val="fr-FR"/>
        </w:rPr>
      </w:pPr>
      <w:r>
        <w:rPr>
          <w:rFonts w:eastAsia="Times New Roman"/>
          <w:lang w:val="fr-FR"/>
        </w:rPr>
        <w:fldChar w:fldCharType="begin"/>
      </w:r>
      <w:r>
        <w:rPr>
          <w:rFonts w:eastAsia="Times New Roman"/>
          <w:lang w:val="fr-FR"/>
        </w:rPr>
        <w:instrText xml:space="preserve"> SEQ level0 \*arabic </w:instrText>
      </w:r>
      <w:r>
        <w:rPr>
          <w:rFonts w:eastAsia="Times New Roman"/>
          <w:lang w:val="fr-FR"/>
        </w:rPr>
        <w:fldChar w:fldCharType="separate"/>
      </w:r>
      <w:r w:rsidR="0096090F">
        <w:rPr>
          <w:rFonts w:eastAsia="Times New Roman"/>
          <w:noProof/>
          <w:lang w:val="fr-FR"/>
        </w:rPr>
        <w:t>50</w:t>
      </w:r>
      <w:r>
        <w:rPr>
          <w:rFonts w:eastAsia="Times New Roman"/>
          <w:lang w:val="fr-FR"/>
        </w:rPr>
        <w:fldChar w:fldCharType="end"/>
      </w:r>
      <w:r>
        <w:rPr>
          <w:rFonts w:eastAsia="Times New Roman"/>
          <w:lang w:val="fr-FR"/>
        </w:rPr>
        <w:t>.  </w:t>
      </w:r>
      <w:r w:rsidR="00FE1496" w:rsidRPr="00FE1496">
        <w:rPr>
          <w:rFonts w:eastAsia="Times New Roman"/>
          <w:lang w:val="fr-FR"/>
        </w:rPr>
        <w:t>À la différence d</w:t>
      </w:r>
      <w:r w:rsidR="00E91700">
        <w:rPr>
          <w:rFonts w:eastAsia="Times New Roman"/>
          <w:lang w:val="fr-FR"/>
        </w:rPr>
        <w:t>’</w:t>
      </w:r>
      <w:r w:rsidR="00FE1496" w:rsidRPr="00FE1496">
        <w:rPr>
          <w:rFonts w:eastAsia="Times New Roman"/>
          <w:lang w:val="fr-FR"/>
        </w:rPr>
        <w:t>autres affaires que la Cour a eu l</w:t>
      </w:r>
      <w:r w:rsidR="00E91700">
        <w:rPr>
          <w:rFonts w:eastAsia="Times New Roman"/>
          <w:lang w:val="fr-FR"/>
        </w:rPr>
        <w:t>’</w:t>
      </w:r>
      <w:r w:rsidR="00FE1496" w:rsidRPr="00FE1496">
        <w:rPr>
          <w:rFonts w:eastAsia="Times New Roman"/>
          <w:lang w:val="fr-FR"/>
        </w:rPr>
        <w:t>occasion d</w:t>
      </w:r>
      <w:r w:rsidR="00E91700">
        <w:rPr>
          <w:rFonts w:eastAsia="Times New Roman"/>
          <w:lang w:val="fr-FR"/>
        </w:rPr>
        <w:t>’</w:t>
      </w:r>
      <w:r w:rsidR="00FE1496" w:rsidRPr="00FE1496">
        <w:rPr>
          <w:rFonts w:eastAsia="Times New Roman"/>
          <w:lang w:val="fr-FR"/>
        </w:rPr>
        <w:t>examiner, l</w:t>
      </w:r>
      <w:r w:rsidR="00FE1496">
        <w:rPr>
          <w:rFonts w:eastAsia="Times New Roman"/>
          <w:lang w:val="fr-FR"/>
        </w:rPr>
        <w:t xml:space="preserve">es </w:t>
      </w:r>
      <w:r w:rsidR="00FE1496" w:rsidRPr="00FE1496">
        <w:rPr>
          <w:rFonts w:eastAsia="Times New Roman"/>
          <w:lang w:val="fr-FR"/>
        </w:rPr>
        <w:t>enfant</w:t>
      </w:r>
      <w:r w:rsidR="00FE1496">
        <w:rPr>
          <w:rFonts w:eastAsia="Times New Roman"/>
          <w:lang w:val="fr-FR"/>
        </w:rPr>
        <w:t>s</w:t>
      </w:r>
      <w:r w:rsidR="00FE1496" w:rsidRPr="00FE1496">
        <w:rPr>
          <w:rFonts w:eastAsia="Times New Roman"/>
          <w:lang w:val="fr-FR"/>
        </w:rPr>
        <w:t xml:space="preserve"> de la requérante en l</w:t>
      </w:r>
      <w:r w:rsidR="00E91700">
        <w:rPr>
          <w:rFonts w:eastAsia="Times New Roman"/>
          <w:lang w:val="fr-FR"/>
        </w:rPr>
        <w:t>’</w:t>
      </w:r>
      <w:r w:rsidR="00FE1496" w:rsidRPr="00FE1496">
        <w:rPr>
          <w:rFonts w:eastAsia="Times New Roman"/>
          <w:lang w:val="fr-FR"/>
        </w:rPr>
        <w:t>espèce n</w:t>
      </w:r>
      <w:r w:rsidR="00E91700">
        <w:rPr>
          <w:rFonts w:eastAsia="Times New Roman"/>
          <w:lang w:val="fr-FR"/>
        </w:rPr>
        <w:t>’</w:t>
      </w:r>
      <w:r w:rsidR="00FE1496">
        <w:rPr>
          <w:rFonts w:eastAsia="Times New Roman"/>
          <w:lang w:val="fr-FR"/>
        </w:rPr>
        <w:t>avaient</w:t>
      </w:r>
      <w:r w:rsidR="00FE1496" w:rsidRPr="00FE1496">
        <w:rPr>
          <w:rFonts w:eastAsia="Times New Roman"/>
          <w:lang w:val="fr-FR"/>
        </w:rPr>
        <w:t xml:space="preserve"> pas été exposé</w:t>
      </w:r>
      <w:r w:rsidR="00FE1496">
        <w:rPr>
          <w:rFonts w:eastAsia="Times New Roman"/>
          <w:lang w:val="fr-FR"/>
        </w:rPr>
        <w:t>s</w:t>
      </w:r>
      <w:r w:rsidR="00FE1496" w:rsidRPr="00FE1496">
        <w:rPr>
          <w:rFonts w:eastAsia="Times New Roman"/>
          <w:lang w:val="fr-FR"/>
        </w:rPr>
        <w:t xml:space="preserve"> à une situation </w:t>
      </w:r>
      <w:r w:rsidR="00FE1496" w:rsidRPr="00FE1496">
        <w:rPr>
          <w:lang w:val="fr-FR"/>
        </w:rPr>
        <w:t xml:space="preserve">de violence ou de maltraitance physique ou psychique (voir, </w:t>
      </w:r>
      <w:r w:rsidR="00FE1496" w:rsidRPr="00FE1496">
        <w:rPr>
          <w:i/>
          <w:lang w:val="fr-FR"/>
        </w:rPr>
        <w:t>a contrario</w:t>
      </w:r>
      <w:r w:rsidR="00FE1496" w:rsidRPr="00FE1496">
        <w:rPr>
          <w:lang w:val="fr-FR"/>
        </w:rPr>
        <w:t xml:space="preserve">, </w:t>
      </w:r>
      <w:r w:rsidR="004B4A82" w:rsidRPr="004B4A82">
        <w:rPr>
          <w:i/>
          <w:lang w:val="fr-FR"/>
        </w:rPr>
        <w:t>Y</w:t>
      </w:r>
      <w:r w:rsidR="004B4A82">
        <w:rPr>
          <w:rFonts w:ascii="Times New Roman" w:hAnsi="Times New Roman"/>
          <w:i/>
          <w:iCs/>
          <w:szCs w:val="24"/>
          <w:lang w:val="fr-FR" w:eastAsia="fr-FR"/>
        </w:rPr>
        <w:t>.C. c. Royaume-Uni</w:t>
      </w:r>
      <w:r w:rsidR="004B4A82">
        <w:rPr>
          <w:rFonts w:ascii="Times New Roman" w:hAnsi="Times New Roman"/>
          <w:szCs w:val="24"/>
          <w:lang w:val="fr-FR" w:eastAsia="fr-FR"/>
        </w:rPr>
        <w:t>, n</w:t>
      </w:r>
      <w:r w:rsidR="004B4A82">
        <w:rPr>
          <w:rFonts w:ascii="Times New Roman" w:hAnsi="Times New Roman"/>
          <w:szCs w:val="24"/>
          <w:vertAlign w:val="superscript"/>
          <w:lang w:val="fr-FR" w:eastAsia="fr-FR"/>
        </w:rPr>
        <w:t>o</w:t>
      </w:r>
      <w:r w:rsidR="004B4A82">
        <w:rPr>
          <w:rFonts w:ascii="Times New Roman" w:hAnsi="Times New Roman"/>
          <w:szCs w:val="24"/>
          <w:lang w:val="fr-FR" w:eastAsia="fr-FR"/>
        </w:rPr>
        <w:t xml:space="preserve"> 4547/10</w:t>
      </w:r>
      <w:r w:rsidR="00C311B3">
        <w:rPr>
          <w:rFonts w:ascii="Times New Roman" w:hAnsi="Times New Roman"/>
          <w:snapToGrid w:val="0"/>
          <w:szCs w:val="24"/>
          <w:lang w:val="fr-FR" w:eastAsia="fr-FR"/>
        </w:rPr>
        <w:t>, 13 </w:t>
      </w:r>
      <w:r w:rsidR="004B4A82">
        <w:rPr>
          <w:rFonts w:ascii="Times New Roman" w:hAnsi="Times New Roman"/>
          <w:szCs w:val="24"/>
          <w:lang w:val="fr-FR" w:eastAsia="fr-FR"/>
        </w:rPr>
        <w:t>mars</w:t>
      </w:r>
      <w:r w:rsidR="00C311B3">
        <w:rPr>
          <w:rFonts w:ascii="Times New Roman" w:hAnsi="Times New Roman"/>
          <w:snapToGrid w:val="0"/>
          <w:szCs w:val="24"/>
          <w:lang w:val="fr-FR" w:eastAsia="fr-FR"/>
        </w:rPr>
        <w:t> </w:t>
      </w:r>
      <w:r w:rsidR="004B4A82">
        <w:rPr>
          <w:rFonts w:ascii="Times New Roman" w:hAnsi="Times New Roman"/>
          <w:snapToGrid w:val="0"/>
          <w:szCs w:val="24"/>
          <w:lang w:val="fr-FR" w:eastAsia="fr-FR"/>
        </w:rPr>
        <w:t>2012,</w:t>
      </w:r>
      <w:r w:rsidR="00C31CD3">
        <w:rPr>
          <w:rFonts w:ascii="Times New Roman" w:hAnsi="Times New Roman"/>
          <w:snapToGrid w:val="0"/>
          <w:szCs w:val="24"/>
          <w:lang w:val="fr-FR" w:eastAsia="fr-FR"/>
        </w:rPr>
        <w:t xml:space="preserve"> </w:t>
      </w:r>
      <w:proofErr w:type="spellStart"/>
      <w:r w:rsidR="00FE1496" w:rsidRPr="00FE1496">
        <w:rPr>
          <w:i/>
          <w:lang w:val="fr-FR"/>
        </w:rPr>
        <w:t>Dewinne</w:t>
      </w:r>
      <w:proofErr w:type="spellEnd"/>
      <w:r w:rsidR="00FE1496" w:rsidRPr="00FE1496">
        <w:rPr>
          <w:i/>
          <w:lang w:val="fr-FR"/>
        </w:rPr>
        <w:t xml:space="preserve"> c. Belgique</w:t>
      </w:r>
      <w:r w:rsidR="00FE1496" w:rsidRPr="00FE1496">
        <w:rPr>
          <w:lang w:val="fr-FR"/>
        </w:rPr>
        <w:t xml:space="preserve"> (déc.), n</w:t>
      </w:r>
      <w:r w:rsidR="00FE1496" w:rsidRPr="00FE1496">
        <w:rPr>
          <w:vertAlign w:val="superscript"/>
          <w:lang w:val="fr-FR"/>
        </w:rPr>
        <w:t>o</w:t>
      </w:r>
      <w:r w:rsidR="005D0E24">
        <w:rPr>
          <w:lang w:val="fr-FR"/>
        </w:rPr>
        <w:t> </w:t>
      </w:r>
      <w:r w:rsidR="00901C6E">
        <w:rPr>
          <w:lang w:val="fr-FR"/>
        </w:rPr>
        <w:t>56024/00</w:t>
      </w:r>
      <w:r w:rsidR="00FE1496" w:rsidRPr="00FE1496">
        <w:rPr>
          <w:lang w:val="fr-FR"/>
        </w:rPr>
        <w:t>, 10</w:t>
      </w:r>
      <w:r w:rsidR="003D6E90">
        <w:rPr>
          <w:rFonts w:eastAsia="Times New Roman"/>
          <w:lang w:val="fr-FR"/>
        </w:rPr>
        <w:t> </w:t>
      </w:r>
      <w:r w:rsidR="00FE1496" w:rsidRPr="00FE1496">
        <w:rPr>
          <w:lang w:val="fr-FR"/>
        </w:rPr>
        <w:t>mars 2005</w:t>
      </w:r>
      <w:r w:rsidR="002D37D2">
        <w:rPr>
          <w:lang w:val="fr-FR"/>
        </w:rPr>
        <w:t> </w:t>
      </w:r>
      <w:r w:rsidR="00FE1496" w:rsidRPr="00FE1496">
        <w:rPr>
          <w:lang w:val="fr-FR"/>
        </w:rPr>
        <w:t xml:space="preserve">; </w:t>
      </w:r>
      <w:proofErr w:type="spellStart"/>
      <w:r w:rsidR="00FE1496" w:rsidRPr="00FE1496">
        <w:rPr>
          <w:i/>
          <w:lang w:val="fr-FR"/>
        </w:rPr>
        <w:t>Zakharova</w:t>
      </w:r>
      <w:proofErr w:type="spellEnd"/>
      <w:r w:rsidR="00FE1496" w:rsidRPr="00FE1496">
        <w:rPr>
          <w:i/>
          <w:lang w:val="fr-FR"/>
        </w:rPr>
        <w:t xml:space="preserve"> c. France</w:t>
      </w:r>
      <w:r w:rsidR="00FE1496" w:rsidRPr="00FE1496">
        <w:rPr>
          <w:lang w:val="fr-FR"/>
        </w:rPr>
        <w:t xml:space="preserve"> (déc.), n</w:t>
      </w:r>
      <w:r w:rsidR="00FE1496" w:rsidRPr="00FE1496">
        <w:rPr>
          <w:vertAlign w:val="superscript"/>
          <w:lang w:val="fr-FR"/>
        </w:rPr>
        <w:t>o</w:t>
      </w:r>
      <w:r w:rsidR="005D0E24">
        <w:rPr>
          <w:lang w:val="fr-FR"/>
        </w:rPr>
        <w:t> </w:t>
      </w:r>
      <w:r w:rsidR="00901C6E">
        <w:rPr>
          <w:lang w:val="fr-FR"/>
        </w:rPr>
        <w:t>57306/00</w:t>
      </w:r>
      <w:r w:rsidR="00FE1496" w:rsidRPr="00FE1496">
        <w:rPr>
          <w:lang w:val="fr-FR"/>
        </w:rPr>
        <w:t xml:space="preserve">, 13 décembre 2005), ni à des abus sexuels (voir, </w:t>
      </w:r>
      <w:r w:rsidR="00FE1496" w:rsidRPr="00FE1496">
        <w:rPr>
          <w:i/>
          <w:lang w:val="fr-FR"/>
        </w:rPr>
        <w:t>a contrario</w:t>
      </w:r>
      <w:r w:rsidR="00FE1496" w:rsidRPr="00FE1496">
        <w:rPr>
          <w:lang w:val="fr-FR"/>
        </w:rPr>
        <w:t xml:space="preserve">, </w:t>
      </w:r>
      <w:proofErr w:type="spellStart"/>
      <w:r w:rsidR="00FE1496" w:rsidRPr="00FE1496">
        <w:rPr>
          <w:i/>
          <w:lang w:val="fr-FR"/>
        </w:rPr>
        <w:t>Covezzi</w:t>
      </w:r>
      <w:proofErr w:type="spellEnd"/>
      <w:r w:rsidR="00FE1496" w:rsidRPr="00FE1496">
        <w:rPr>
          <w:i/>
          <w:lang w:val="fr-FR"/>
        </w:rPr>
        <w:t xml:space="preserve"> et </w:t>
      </w:r>
      <w:proofErr w:type="spellStart"/>
      <w:r w:rsidR="00FE1496" w:rsidRPr="00FE1496">
        <w:rPr>
          <w:i/>
          <w:lang w:val="fr-FR"/>
        </w:rPr>
        <w:t>Morselli</w:t>
      </w:r>
      <w:proofErr w:type="spellEnd"/>
      <w:r w:rsidR="00FE1496" w:rsidRPr="00FE1496">
        <w:rPr>
          <w:i/>
          <w:lang w:val="fr-FR"/>
        </w:rPr>
        <w:t xml:space="preserve"> c. Italie</w:t>
      </w:r>
      <w:r w:rsidR="00FE1496" w:rsidRPr="00FE1496">
        <w:rPr>
          <w:lang w:val="fr-FR"/>
        </w:rPr>
        <w:t>, n</w:t>
      </w:r>
      <w:r w:rsidR="00FE1496" w:rsidRPr="00FE1496">
        <w:rPr>
          <w:vertAlign w:val="superscript"/>
          <w:lang w:val="fr-FR"/>
        </w:rPr>
        <w:t>o</w:t>
      </w:r>
      <w:r w:rsidR="005D0E24">
        <w:rPr>
          <w:lang w:val="fr-FR"/>
        </w:rPr>
        <w:t> </w:t>
      </w:r>
      <w:r w:rsidR="00901C6E">
        <w:rPr>
          <w:lang w:val="fr-FR"/>
        </w:rPr>
        <w:t xml:space="preserve"> 52763/99</w:t>
      </w:r>
      <w:r w:rsidR="00FE1496" w:rsidRPr="00FE1496">
        <w:rPr>
          <w:lang w:val="fr-FR"/>
        </w:rPr>
        <w:t>, § 104, 9 mai</w:t>
      </w:r>
      <w:r w:rsidR="006E71DB">
        <w:rPr>
          <w:lang w:val="fr-FR"/>
        </w:rPr>
        <w:t xml:space="preserve"> 2003).</w:t>
      </w:r>
    </w:p>
    <w:p w:rsidR="00C311B3" w:rsidRDefault="006E71DB" w:rsidP="00FE1496">
      <w:pPr>
        <w:pStyle w:val="ECHRPara"/>
        <w:rPr>
          <w:lang w:val="fr-FR"/>
        </w:rPr>
      </w:pPr>
      <w:r>
        <w:rPr>
          <w:lang w:val="fr-FR"/>
        </w:rPr>
        <w:t>La Cour rappelle avoir</w:t>
      </w:r>
      <w:r w:rsidR="00FE1496" w:rsidRPr="00FE1496">
        <w:rPr>
          <w:lang w:val="fr-FR"/>
        </w:rPr>
        <w:t xml:space="preserve"> conclu à la violation </w:t>
      </w:r>
      <w:r w:rsidR="004B3141" w:rsidRPr="004B3141">
        <w:rPr>
          <w:lang w:val="fr-FR"/>
        </w:rPr>
        <w:t>de l</w:t>
      </w:r>
      <w:r w:rsidR="00E91700">
        <w:rPr>
          <w:lang w:val="fr-FR"/>
        </w:rPr>
        <w:t>’</w:t>
      </w:r>
      <w:r w:rsidR="004B3141" w:rsidRPr="004B3141">
        <w:rPr>
          <w:lang w:val="fr-FR"/>
        </w:rPr>
        <w:t>article</w:t>
      </w:r>
      <w:r w:rsidR="005D0E24">
        <w:rPr>
          <w:lang w:val="fr-FR"/>
        </w:rPr>
        <w:t> </w:t>
      </w:r>
      <w:r w:rsidR="004B3141" w:rsidRPr="004B3141">
        <w:rPr>
          <w:lang w:val="fr-FR"/>
        </w:rPr>
        <w:t>8</w:t>
      </w:r>
      <w:r w:rsidR="00C55D58">
        <w:rPr>
          <w:lang w:val="fr-FR"/>
        </w:rPr>
        <w:t xml:space="preserve"> dans l</w:t>
      </w:r>
      <w:r w:rsidR="00E91700">
        <w:rPr>
          <w:lang w:val="fr-FR"/>
        </w:rPr>
        <w:t>’</w:t>
      </w:r>
      <w:r w:rsidR="00C55D58">
        <w:rPr>
          <w:lang w:val="fr-FR"/>
        </w:rPr>
        <w:t>a</w:t>
      </w:r>
      <w:r w:rsidR="00FE1496" w:rsidRPr="00FE1496">
        <w:rPr>
          <w:lang w:val="fr-FR"/>
        </w:rPr>
        <w:t xml:space="preserve">ffaire </w:t>
      </w:r>
      <w:proofErr w:type="spellStart"/>
      <w:r w:rsidR="00FE1496" w:rsidRPr="00FE1496">
        <w:rPr>
          <w:i/>
          <w:lang w:val="fr-FR"/>
        </w:rPr>
        <w:t>Kutzner</w:t>
      </w:r>
      <w:proofErr w:type="spellEnd"/>
      <w:r w:rsidR="00FE1496" w:rsidRPr="00FE1496">
        <w:rPr>
          <w:i/>
          <w:lang w:val="fr-FR"/>
        </w:rPr>
        <w:t xml:space="preserve"> c. Allemagne</w:t>
      </w:r>
      <w:r>
        <w:rPr>
          <w:lang w:val="fr-FR"/>
        </w:rPr>
        <w:t xml:space="preserve"> (§</w:t>
      </w:r>
      <w:r w:rsidR="005D0E24">
        <w:rPr>
          <w:lang w:val="fr-FR"/>
        </w:rPr>
        <w:t> </w:t>
      </w:r>
      <w:r>
        <w:rPr>
          <w:lang w:val="fr-FR"/>
        </w:rPr>
        <w:t>68, précité)</w:t>
      </w:r>
      <w:r w:rsidR="004B3141">
        <w:rPr>
          <w:lang w:val="fr-FR"/>
        </w:rPr>
        <w:t>,</w:t>
      </w:r>
      <w:r>
        <w:rPr>
          <w:lang w:val="fr-FR"/>
        </w:rPr>
        <w:t xml:space="preserve"> dans </w:t>
      </w:r>
      <w:r w:rsidR="00365283">
        <w:rPr>
          <w:lang w:val="fr-FR"/>
        </w:rPr>
        <w:t>laquelle</w:t>
      </w:r>
      <w:r w:rsidR="00FE1496" w:rsidRPr="00FE1496">
        <w:rPr>
          <w:lang w:val="fr-FR"/>
        </w:rPr>
        <w:t xml:space="preserve"> les tribunaux avaient </w:t>
      </w:r>
      <w:r w:rsidR="00FE1496" w:rsidRPr="00FE1496">
        <w:rPr>
          <w:rFonts w:ascii="Times New Roman" w:eastAsia="Times New Roman" w:hAnsi="Times New Roman"/>
          <w:szCs w:val="20"/>
          <w:lang w:val="fr-FR"/>
        </w:rPr>
        <w:t>retiré l</w:t>
      </w:r>
      <w:r w:rsidR="00E91700">
        <w:rPr>
          <w:rFonts w:ascii="Times New Roman" w:eastAsia="Times New Roman" w:hAnsi="Times New Roman"/>
          <w:szCs w:val="20"/>
          <w:lang w:val="fr-FR"/>
        </w:rPr>
        <w:t>’</w:t>
      </w:r>
      <w:r w:rsidR="00FE1496" w:rsidRPr="00FE1496">
        <w:rPr>
          <w:rFonts w:ascii="Times New Roman" w:eastAsia="Times New Roman" w:hAnsi="Times New Roman"/>
          <w:szCs w:val="20"/>
          <w:lang w:val="fr-FR"/>
        </w:rPr>
        <w:t xml:space="preserve">autorité parentale aux requérants après avoir </w:t>
      </w:r>
      <w:r w:rsidR="00FE1496" w:rsidRPr="00FE1496">
        <w:rPr>
          <w:lang w:val="fr-FR"/>
        </w:rPr>
        <w:t xml:space="preserve">constaté </w:t>
      </w:r>
      <w:r w:rsidR="00312B03">
        <w:rPr>
          <w:lang w:val="fr-FR"/>
        </w:rPr>
        <w:t xml:space="preserve">des déficiences intellectuelles </w:t>
      </w:r>
      <w:r w:rsidR="001A0C01">
        <w:rPr>
          <w:lang w:val="fr-FR"/>
        </w:rPr>
        <w:t xml:space="preserve">de ces </w:t>
      </w:r>
      <w:r w:rsidR="00FE1496" w:rsidRPr="00FE1496">
        <w:rPr>
          <w:lang w:val="fr-FR"/>
        </w:rPr>
        <w:t>derniers</w:t>
      </w:r>
      <w:r w:rsidR="00312B03">
        <w:rPr>
          <w:lang w:val="fr-FR"/>
        </w:rPr>
        <w:t xml:space="preserve"> et avaient </w:t>
      </w:r>
      <w:r w:rsidR="00312B03" w:rsidRPr="00312B03">
        <w:rPr>
          <w:lang w:val="fr-FR"/>
        </w:rPr>
        <w:t>plac</w:t>
      </w:r>
      <w:r w:rsidR="00312B03">
        <w:rPr>
          <w:lang w:val="fr-FR"/>
        </w:rPr>
        <w:t>é</w:t>
      </w:r>
      <w:r w:rsidR="00312B03" w:rsidRPr="00076F0F">
        <w:rPr>
          <w:lang w:val="fr-FR"/>
        </w:rPr>
        <w:t xml:space="preserve"> les </w:t>
      </w:r>
      <w:r w:rsidR="00076F0F">
        <w:rPr>
          <w:lang w:val="fr-FR"/>
        </w:rPr>
        <w:t xml:space="preserve">deux </w:t>
      </w:r>
      <w:r w:rsidR="00312B03" w:rsidRPr="00076F0F">
        <w:rPr>
          <w:lang w:val="fr-FR"/>
        </w:rPr>
        <w:t>enfants dans des familles d</w:t>
      </w:r>
      <w:r w:rsidR="00E91700">
        <w:rPr>
          <w:lang w:val="fr-FR"/>
        </w:rPr>
        <w:t>’</w:t>
      </w:r>
      <w:r w:rsidR="00312B03" w:rsidRPr="00076F0F">
        <w:rPr>
          <w:lang w:val="fr-FR"/>
        </w:rPr>
        <w:t>accueil distinctes</w:t>
      </w:r>
      <w:r w:rsidR="00312B03">
        <w:rPr>
          <w:lang w:val="fr-FR"/>
        </w:rPr>
        <w:t xml:space="preserve"> (§</w:t>
      </w:r>
      <w:r w:rsidR="00076F0F">
        <w:rPr>
          <w:lang w:val="fr-FR"/>
        </w:rPr>
        <w:t xml:space="preserve"> 77</w:t>
      </w:r>
      <w:r w:rsidR="00217F67">
        <w:rPr>
          <w:lang w:val="fr-FR"/>
        </w:rPr>
        <w:t>, précité</w:t>
      </w:r>
      <w:r w:rsidR="00076F0F">
        <w:rPr>
          <w:lang w:val="fr-FR"/>
        </w:rPr>
        <w:t>)</w:t>
      </w:r>
      <w:r w:rsidR="00397B77">
        <w:rPr>
          <w:lang w:val="fr-FR"/>
        </w:rPr>
        <w:t xml:space="preserve">. </w:t>
      </w:r>
      <w:r w:rsidR="00312B03">
        <w:rPr>
          <w:lang w:val="fr-FR"/>
        </w:rPr>
        <w:t xml:space="preserve">La Cour a noté que </w:t>
      </w:r>
      <w:r w:rsidR="00312B03" w:rsidRPr="00076F0F">
        <w:rPr>
          <w:lang w:val="fr-FR"/>
        </w:rPr>
        <w:t>si les raisons invoquées par les autorités et juridictions nationales étaient pertinentes, elles n</w:t>
      </w:r>
      <w:r w:rsidR="00E91700">
        <w:rPr>
          <w:lang w:val="fr-FR"/>
        </w:rPr>
        <w:t>’</w:t>
      </w:r>
      <w:r w:rsidR="00312B03" w:rsidRPr="00076F0F">
        <w:rPr>
          <w:lang w:val="fr-FR"/>
        </w:rPr>
        <w:t>étaient pas suffisantes pour justifier cette grave ingérence dans la vie familiale des requérants</w:t>
      </w:r>
      <w:r w:rsidR="00076F0F">
        <w:rPr>
          <w:lang w:val="fr-FR"/>
        </w:rPr>
        <w:t xml:space="preserve"> (§ 81</w:t>
      </w:r>
      <w:r w:rsidR="00217F67">
        <w:rPr>
          <w:lang w:val="fr-FR"/>
        </w:rPr>
        <w:t>, précité</w:t>
      </w:r>
      <w:r w:rsidR="00076F0F">
        <w:rPr>
          <w:lang w:val="fr-FR"/>
        </w:rPr>
        <w:t xml:space="preserve">). </w:t>
      </w:r>
      <w:r w:rsidR="00F918F0">
        <w:rPr>
          <w:lang w:val="fr-FR"/>
        </w:rPr>
        <w:t xml:space="preserve">La </w:t>
      </w:r>
      <w:r w:rsidR="00FE1496" w:rsidRPr="00FE1496">
        <w:rPr>
          <w:lang w:val="fr-FR"/>
        </w:rPr>
        <w:t>violation de l</w:t>
      </w:r>
      <w:r w:rsidR="00E91700">
        <w:rPr>
          <w:lang w:val="fr-FR"/>
        </w:rPr>
        <w:t>’</w:t>
      </w:r>
      <w:r w:rsidR="00FE1496" w:rsidRPr="00FE1496">
        <w:rPr>
          <w:lang w:val="fr-FR"/>
        </w:rPr>
        <w:t>article</w:t>
      </w:r>
      <w:r w:rsidR="005D0E24">
        <w:rPr>
          <w:lang w:val="fr-FR"/>
        </w:rPr>
        <w:t> </w:t>
      </w:r>
      <w:r w:rsidR="00FE1496" w:rsidRPr="00FE1496">
        <w:rPr>
          <w:lang w:val="fr-FR"/>
        </w:rPr>
        <w:t>8</w:t>
      </w:r>
      <w:r w:rsidR="00F918F0">
        <w:rPr>
          <w:lang w:val="fr-FR"/>
        </w:rPr>
        <w:t xml:space="preserve"> a également été constatée </w:t>
      </w:r>
      <w:r w:rsidR="00FE1496" w:rsidRPr="00FE1496">
        <w:rPr>
          <w:lang w:val="fr-FR"/>
        </w:rPr>
        <w:t xml:space="preserve">dans une affaire </w:t>
      </w:r>
      <w:proofErr w:type="spellStart"/>
      <w:r w:rsidR="00FE1496" w:rsidRPr="00FE1496">
        <w:rPr>
          <w:i/>
          <w:lang w:val="fr-FR"/>
        </w:rPr>
        <w:t>Saviny</w:t>
      </w:r>
      <w:proofErr w:type="spellEnd"/>
      <w:r w:rsidR="00FE1496" w:rsidRPr="00FE1496">
        <w:rPr>
          <w:i/>
          <w:lang w:val="fr-FR"/>
        </w:rPr>
        <w:t xml:space="preserve"> c. Ukraine</w:t>
      </w:r>
      <w:r w:rsidR="00C55D58">
        <w:rPr>
          <w:lang w:val="fr-FR"/>
        </w:rPr>
        <w:t xml:space="preserve"> (</w:t>
      </w:r>
      <w:r w:rsidR="00FE1496" w:rsidRPr="00FE1496">
        <w:rPr>
          <w:lang w:val="fr-FR"/>
        </w:rPr>
        <w:t>n</w:t>
      </w:r>
      <w:r w:rsidR="00365283" w:rsidRPr="00FE1496">
        <w:rPr>
          <w:vertAlign w:val="superscript"/>
          <w:lang w:val="fr-FR"/>
        </w:rPr>
        <w:t>o</w:t>
      </w:r>
      <w:r w:rsidR="00C311B3">
        <w:rPr>
          <w:lang w:val="fr-FR"/>
        </w:rPr>
        <w:t> 39948/06, 18 </w:t>
      </w:r>
      <w:r w:rsidR="00FE1496" w:rsidRPr="00FE1496">
        <w:rPr>
          <w:lang w:val="fr-FR"/>
        </w:rPr>
        <w:t>décembre 2008)</w:t>
      </w:r>
      <w:r w:rsidR="00C55D58">
        <w:rPr>
          <w:lang w:val="fr-FR"/>
        </w:rPr>
        <w:t>,</w:t>
      </w:r>
      <w:r w:rsidR="00FE1496" w:rsidRPr="00FE1496">
        <w:rPr>
          <w:lang w:val="fr-FR"/>
        </w:rPr>
        <w:t xml:space="preserve"> où le placement des enfants des requérants avait été justifié </w:t>
      </w:r>
      <w:r w:rsidR="004B3141">
        <w:rPr>
          <w:lang w:val="fr-FR"/>
        </w:rPr>
        <w:t>par</w:t>
      </w:r>
      <w:r w:rsidR="00FE1496" w:rsidRPr="00FE1496">
        <w:rPr>
          <w:lang w:val="fr-FR"/>
        </w:rPr>
        <w:t xml:space="preserve"> leur incapacité </w:t>
      </w:r>
      <w:r w:rsidR="004B3141">
        <w:rPr>
          <w:lang w:val="fr-FR"/>
        </w:rPr>
        <w:t>à</w:t>
      </w:r>
      <w:r w:rsidR="004B3141" w:rsidRPr="00FE1496">
        <w:rPr>
          <w:lang w:val="fr-FR"/>
        </w:rPr>
        <w:t xml:space="preserve"> </w:t>
      </w:r>
      <w:r w:rsidR="00FE1496" w:rsidRPr="00FE1496">
        <w:rPr>
          <w:lang w:val="fr-FR"/>
        </w:rPr>
        <w:t xml:space="preserve">garantir </w:t>
      </w:r>
      <w:r w:rsidR="00397B77">
        <w:rPr>
          <w:lang w:val="fr-FR"/>
        </w:rPr>
        <w:t xml:space="preserve">aux enfants </w:t>
      </w:r>
      <w:r w:rsidR="00FE1496" w:rsidRPr="00FE1496">
        <w:rPr>
          <w:lang w:val="fr-FR"/>
        </w:rPr>
        <w:t>des conditions de vie adéquates (le manque de moyens financiers et de qualités personnelles des intéressés mettait en péril la vie, la santé et l</w:t>
      </w:r>
      <w:r w:rsidR="00E91700">
        <w:rPr>
          <w:lang w:val="fr-FR"/>
        </w:rPr>
        <w:t>’</w:t>
      </w:r>
      <w:r w:rsidR="00FE1496" w:rsidRPr="00FE1496">
        <w:rPr>
          <w:lang w:val="fr-FR"/>
        </w:rPr>
        <w:t>éducation morale des enfants)</w:t>
      </w:r>
      <w:r w:rsidR="00C311B3">
        <w:rPr>
          <w:lang w:val="fr-FR"/>
        </w:rPr>
        <w:t>.</w:t>
      </w:r>
    </w:p>
    <w:p w:rsidR="00397B77" w:rsidRDefault="00397B77" w:rsidP="00FE1496">
      <w:pPr>
        <w:pStyle w:val="ECHRPara"/>
        <w:rPr>
          <w:lang w:val="fr-FR"/>
        </w:rPr>
      </w:pPr>
      <w:r>
        <w:rPr>
          <w:lang w:val="fr-FR"/>
        </w:rPr>
        <w:t xml:space="preserve">Il en est allé de même </w:t>
      </w:r>
      <w:r w:rsidR="00FE1496">
        <w:rPr>
          <w:lang w:val="fr-FR"/>
        </w:rPr>
        <w:t>dans l</w:t>
      </w:r>
      <w:r w:rsidR="00E91700">
        <w:rPr>
          <w:lang w:val="fr-FR"/>
        </w:rPr>
        <w:t>’</w:t>
      </w:r>
      <w:r w:rsidR="00FE1496">
        <w:rPr>
          <w:lang w:val="fr-FR"/>
        </w:rPr>
        <w:t xml:space="preserve">affaire </w:t>
      </w:r>
      <w:r w:rsidR="00FE1496" w:rsidRPr="00FE1496">
        <w:rPr>
          <w:i/>
          <w:lang w:val="fr-FR"/>
        </w:rPr>
        <w:t>Zhou c. Italie</w:t>
      </w:r>
      <w:r w:rsidR="00FE1496">
        <w:rPr>
          <w:lang w:val="fr-FR"/>
        </w:rPr>
        <w:t xml:space="preserve"> (§§</w:t>
      </w:r>
      <w:r w:rsidR="005D0E24">
        <w:rPr>
          <w:lang w:val="fr-FR"/>
        </w:rPr>
        <w:t> </w:t>
      </w:r>
      <w:r w:rsidR="00FE1496">
        <w:rPr>
          <w:lang w:val="fr-FR"/>
        </w:rPr>
        <w:t xml:space="preserve">59-61, précité), dans </w:t>
      </w:r>
      <w:r>
        <w:rPr>
          <w:lang w:val="fr-FR"/>
        </w:rPr>
        <w:t xml:space="preserve">laquelle </w:t>
      </w:r>
      <w:r w:rsidR="00FE1496">
        <w:rPr>
          <w:lang w:val="fr-FR"/>
        </w:rPr>
        <w:t>la Cour a considéré que les autorités n</w:t>
      </w:r>
      <w:r w:rsidR="00E91700">
        <w:rPr>
          <w:lang w:val="fr-FR"/>
        </w:rPr>
        <w:t>’</w:t>
      </w:r>
      <w:r w:rsidR="00FE1496">
        <w:rPr>
          <w:lang w:val="fr-FR"/>
        </w:rPr>
        <w:t>avaient pas déployé les efforts nécessaires pour préserver le lien mère-enfant et s</w:t>
      </w:r>
      <w:r w:rsidR="00E91700">
        <w:rPr>
          <w:lang w:val="fr-FR"/>
        </w:rPr>
        <w:t>’</w:t>
      </w:r>
      <w:r w:rsidR="00FE1496">
        <w:rPr>
          <w:lang w:val="fr-FR"/>
        </w:rPr>
        <w:t>étaient limitées à constater l</w:t>
      </w:r>
      <w:r w:rsidR="00E91700">
        <w:rPr>
          <w:lang w:val="fr-FR"/>
        </w:rPr>
        <w:t>’</w:t>
      </w:r>
      <w:r w:rsidR="00FE1496">
        <w:rPr>
          <w:lang w:val="fr-FR"/>
        </w:rPr>
        <w:t xml:space="preserve">existence de difficultés </w:t>
      </w:r>
      <w:r>
        <w:rPr>
          <w:lang w:val="fr-FR"/>
        </w:rPr>
        <w:t xml:space="preserve">alors que celles-ci </w:t>
      </w:r>
      <w:r w:rsidR="00FE1496">
        <w:rPr>
          <w:lang w:val="fr-FR"/>
        </w:rPr>
        <w:t>pouvaient être surmonté</w:t>
      </w:r>
      <w:r w:rsidR="00AD6D0A">
        <w:rPr>
          <w:lang w:val="fr-FR"/>
        </w:rPr>
        <w:t>es</w:t>
      </w:r>
      <w:r w:rsidR="00FE1496">
        <w:rPr>
          <w:lang w:val="fr-FR"/>
        </w:rPr>
        <w:t xml:space="preserve"> au moyen d</w:t>
      </w:r>
      <w:r w:rsidR="00E91700">
        <w:rPr>
          <w:lang w:val="fr-FR"/>
        </w:rPr>
        <w:t>’</w:t>
      </w:r>
      <w:r w:rsidR="00FE1496">
        <w:rPr>
          <w:lang w:val="fr-FR"/>
        </w:rPr>
        <w:t>une assistance sociale ciblée.</w:t>
      </w:r>
    </w:p>
    <w:p w:rsidR="00C31CD3" w:rsidRDefault="00397B77" w:rsidP="00FE1496">
      <w:pPr>
        <w:pStyle w:val="ECHRPara"/>
        <w:rPr>
          <w:lang w:val="fr-FR"/>
        </w:rPr>
      </w:pPr>
      <w:r>
        <w:rPr>
          <w:lang w:val="fr-FR"/>
        </w:rPr>
        <w:lastRenderedPageBreak/>
        <w:t>La Cour</w:t>
      </w:r>
      <w:r w:rsidRPr="00397B77">
        <w:rPr>
          <w:lang w:val="fr-FR"/>
        </w:rPr>
        <w:t xml:space="preserve"> a au contraire conclu à </w:t>
      </w:r>
      <w:r>
        <w:rPr>
          <w:lang w:val="fr-FR"/>
        </w:rPr>
        <w:t>la</w:t>
      </w:r>
      <w:r w:rsidRPr="00397B77">
        <w:rPr>
          <w:lang w:val="fr-FR"/>
        </w:rPr>
        <w:t xml:space="preserve"> non-violation </w:t>
      </w:r>
      <w:r>
        <w:rPr>
          <w:lang w:val="fr-FR"/>
        </w:rPr>
        <w:t>de l</w:t>
      </w:r>
      <w:r w:rsidR="00E91700">
        <w:rPr>
          <w:lang w:val="fr-FR"/>
        </w:rPr>
        <w:t>’</w:t>
      </w:r>
      <w:r>
        <w:rPr>
          <w:lang w:val="fr-FR"/>
        </w:rPr>
        <w:t>article</w:t>
      </w:r>
      <w:r w:rsidR="005D0E24">
        <w:rPr>
          <w:lang w:val="fr-FR"/>
        </w:rPr>
        <w:t> </w:t>
      </w:r>
      <w:r>
        <w:rPr>
          <w:lang w:val="fr-FR"/>
        </w:rPr>
        <w:t xml:space="preserve">8 </w:t>
      </w:r>
      <w:r w:rsidRPr="00397B77">
        <w:rPr>
          <w:lang w:val="fr-FR"/>
        </w:rPr>
        <w:t>dans l</w:t>
      </w:r>
      <w:r w:rsidR="00E91700">
        <w:rPr>
          <w:lang w:val="fr-FR"/>
        </w:rPr>
        <w:t>’</w:t>
      </w:r>
      <w:r w:rsidRPr="00397B77">
        <w:rPr>
          <w:lang w:val="fr-FR"/>
        </w:rPr>
        <w:t xml:space="preserve">affaire </w:t>
      </w:r>
      <w:r w:rsidRPr="00397B77">
        <w:rPr>
          <w:i/>
          <w:lang w:val="fr-FR"/>
        </w:rPr>
        <w:t>Aune c. Norvège</w:t>
      </w:r>
      <w:r w:rsidRPr="00397B77">
        <w:rPr>
          <w:lang w:val="fr-FR"/>
        </w:rPr>
        <w:t xml:space="preserve"> (n</w:t>
      </w:r>
      <w:r w:rsidRPr="00397B77">
        <w:rPr>
          <w:vertAlign w:val="superscript"/>
          <w:lang w:val="fr-FR"/>
        </w:rPr>
        <w:t>o</w:t>
      </w:r>
      <w:r w:rsidR="005D0E24">
        <w:rPr>
          <w:lang w:val="fr-FR"/>
        </w:rPr>
        <w:t> </w:t>
      </w:r>
      <w:r w:rsidRPr="00397B77">
        <w:rPr>
          <w:lang w:val="fr-FR"/>
        </w:rPr>
        <w:t>52502/07, 28 octobre 2010), en relevant que l</w:t>
      </w:r>
      <w:r w:rsidR="00E91700">
        <w:rPr>
          <w:lang w:val="fr-FR"/>
        </w:rPr>
        <w:t>’</w:t>
      </w:r>
      <w:r w:rsidRPr="00397B77">
        <w:rPr>
          <w:lang w:val="fr-FR"/>
        </w:rPr>
        <w:t>adoption du mineur n</w:t>
      </w:r>
      <w:r w:rsidR="00E91700">
        <w:rPr>
          <w:lang w:val="fr-FR"/>
        </w:rPr>
        <w:t>’</w:t>
      </w:r>
      <w:r w:rsidRPr="00397B77">
        <w:rPr>
          <w:lang w:val="fr-FR"/>
        </w:rPr>
        <w:t>avait en fait pas empêché la requérante de continuer à entretenir une relation personnelle avec l</w:t>
      </w:r>
      <w:r w:rsidR="00E91700">
        <w:rPr>
          <w:lang w:val="fr-FR"/>
        </w:rPr>
        <w:t>’</w:t>
      </w:r>
      <w:r w:rsidRPr="00397B77">
        <w:rPr>
          <w:lang w:val="fr-FR"/>
        </w:rPr>
        <w:t>enfant et n</w:t>
      </w:r>
      <w:r w:rsidR="00E91700">
        <w:rPr>
          <w:lang w:val="fr-FR"/>
        </w:rPr>
        <w:t>’</w:t>
      </w:r>
      <w:r w:rsidRPr="00397B77">
        <w:rPr>
          <w:lang w:val="fr-FR"/>
        </w:rPr>
        <w:t>avait pas eu pour conséquences de couper l</w:t>
      </w:r>
      <w:r w:rsidR="00E91700">
        <w:rPr>
          <w:lang w:val="fr-FR"/>
        </w:rPr>
        <w:t>’</w:t>
      </w:r>
      <w:r w:rsidRPr="00397B77">
        <w:rPr>
          <w:lang w:val="fr-FR"/>
        </w:rPr>
        <w:t xml:space="preserve">enfant de ses racines. </w:t>
      </w:r>
      <w:r>
        <w:rPr>
          <w:lang w:val="fr-FR"/>
        </w:rPr>
        <w:t>Dans</w:t>
      </w:r>
      <w:r w:rsidR="00DB7FE2">
        <w:rPr>
          <w:lang w:val="fr-FR"/>
        </w:rPr>
        <w:t xml:space="preserve"> l</w:t>
      </w:r>
      <w:r w:rsidR="00E91700">
        <w:rPr>
          <w:lang w:val="fr-FR"/>
        </w:rPr>
        <w:t>’</w:t>
      </w:r>
      <w:r w:rsidR="00FE1496" w:rsidRPr="00FE1496">
        <w:rPr>
          <w:lang w:val="fr-FR"/>
        </w:rPr>
        <w:t>affaire</w:t>
      </w:r>
      <w:r w:rsidR="00715263">
        <w:rPr>
          <w:lang w:val="fr-FR"/>
        </w:rPr>
        <w:t xml:space="preserve"> précitée</w:t>
      </w:r>
      <w:r w:rsidR="00FE1496" w:rsidRPr="00FE1496">
        <w:rPr>
          <w:lang w:val="fr-FR"/>
        </w:rPr>
        <w:t xml:space="preserve"> </w:t>
      </w:r>
      <w:r w:rsidR="00DB7FE2" w:rsidRPr="00FE1496">
        <w:rPr>
          <w:i/>
          <w:lang w:val="fr-FR"/>
        </w:rPr>
        <w:t xml:space="preserve">Couillard </w:t>
      </w:r>
      <w:proofErr w:type="spellStart"/>
      <w:r w:rsidR="00DB7FE2" w:rsidRPr="00FE1496">
        <w:rPr>
          <w:i/>
          <w:lang w:val="fr-FR"/>
        </w:rPr>
        <w:t>Maugery</w:t>
      </w:r>
      <w:proofErr w:type="spellEnd"/>
      <w:r w:rsidR="00DB7FE2" w:rsidRPr="00FE1496">
        <w:rPr>
          <w:i/>
          <w:lang w:val="fr-FR"/>
        </w:rPr>
        <w:t xml:space="preserve"> c. </w:t>
      </w:r>
      <w:r w:rsidR="00DB7FE2">
        <w:rPr>
          <w:i/>
          <w:lang w:val="fr-FR"/>
        </w:rPr>
        <w:t>France</w:t>
      </w:r>
      <w:r>
        <w:rPr>
          <w:lang w:val="fr-FR"/>
        </w:rPr>
        <w:t>,</w:t>
      </w:r>
      <w:r w:rsidR="00DB7FE2">
        <w:rPr>
          <w:lang w:val="fr-FR"/>
        </w:rPr>
        <w:t xml:space="preserve"> </w:t>
      </w:r>
      <w:r w:rsidR="00FE1496" w:rsidRPr="00FE1496">
        <w:rPr>
          <w:lang w:val="fr-FR"/>
        </w:rPr>
        <w:t>où le placement des enfants avait été ordonné en raison d</w:t>
      </w:r>
      <w:r w:rsidR="00E91700">
        <w:rPr>
          <w:lang w:val="fr-FR"/>
        </w:rPr>
        <w:t>’</w:t>
      </w:r>
      <w:r w:rsidR="00FE1496" w:rsidRPr="00FE1496">
        <w:rPr>
          <w:lang w:val="fr-FR"/>
        </w:rPr>
        <w:t>un déséquilibre psychique</w:t>
      </w:r>
      <w:r w:rsidR="00DB7FE2">
        <w:rPr>
          <w:lang w:val="fr-FR"/>
        </w:rPr>
        <w:t xml:space="preserve"> de la mère</w:t>
      </w:r>
      <w:r w:rsidR="00FE1496" w:rsidRPr="00FE1496">
        <w:rPr>
          <w:lang w:val="fr-FR"/>
        </w:rPr>
        <w:t xml:space="preserve">, la Cour a </w:t>
      </w:r>
      <w:r>
        <w:rPr>
          <w:lang w:val="fr-FR"/>
        </w:rPr>
        <w:t xml:space="preserve">également </w:t>
      </w:r>
      <w:r w:rsidR="00FE1496" w:rsidRPr="00FE1496">
        <w:rPr>
          <w:lang w:val="fr-FR"/>
        </w:rPr>
        <w:t xml:space="preserve">conclu à </w:t>
      </w:r>
      <w:r w:rsidR="00600F74">
        <w:rPr>
          <w:lang w:val="fr-FR"/>
        </w:rPr>
        <w:t>la non-</w:t>
      </w:r>
      <w:r w:rsidR="00FE1496" w:rsidRPr="00FE1496">
        <w:rPr>
          <w:lang w:val="fr-FR"/>
        </w:rPr>
        <w:t>violation de l</w:t>
      </w:r>
      <w:r w:rsidR="00E91700">
        <w:rPr>
          <w:lang w:val="fr-FR"/>
        </w:rPr>
        <w:t>’</w:t>
      </w:r>
      <w:r w:rsidR="00FE1496" w:rsidRPr="00FE1496">
        <w:rPr>
          <w:lang w:val="fr-FR"/>
        </w:rPr>
        <w:t>article</w:t>
      </w:r>
      <w:r w:rsidR="005D0E24">
        <w:rPr>
          <w:lang w:val="fr-FR"/>
        </w:rPr>
        <w:t> </w:t>
      </w:r>
      <w:r w:rsidR="00FE1496" w:rsidRPr="00FE1496">
        <w:rPr>
          <w:lang w:val="fr-FR"/>
        </w:rPr>
        <w:t>8</w:t>
      </w:r>
      <w:r>
        <w:rPr>
          <w:lang w:val="fr-FR"/>
        </w:rPr>
        <w:t>, en prenant</w:t>
      </w:r>
      <w:r w:rsidR="00DB7FE2">
        <w:rPr>
          <w:lang w:val="fr-FR"/>
        </w:rPr>
        <w:t xml:space="preserve"> en </w:t>
      </w:r>
      <w:r w:rsidR="00A834B3">
        <w:rPr>
          <w:lang w:val="fr-FR"/>
        </w:rPr>
        <w:t>co</w:t>
      </w:r>
      <w:r w:rsidR="000E4DBA">
        <w:rPr>
          <w:lang w:val="fr-FR"/>
        </w:rPr>
        <w:t>mpte</w:t>
      </w:r>
      <w:r w:rsidR="00DB7FE2">
        <w:rPr>
          <w:lang w:val="fr-FR"/>
        </w:rPr>
        <w:t xml:space="preserve"> le manque de coopération de la mère avec les services sociaux, le refus des enfants de la</w:t>
      </w:r>
      <w:r w:rsidR="00A834B3">
        <w:rPr>
          <w:lang w:val="fr-FR"/>
        </w:rPr>
        <w:t xml:space="preserve"> voir et surtout</w:t>
      </w:r>
      <w:r w:rsidR="00DB7FE2">
        <w:rPr>
          <w:lang w:val="fr-FR"/>
        </w:rPr>
        <w:t xml:space="preserve"> le fait que </w:t>
      </w:r>
      <w:r w:rsidR="00FE1496" w:rsidRPr="00FE1496">
        <w:rPr>
          <w:lang w:val="fr-FR"/>
        </w:rPr>
        <w:t>le l</w:t>
      </w:r>
      <w:r w:rsidR="00DB7FE2">
        <w:rPr>
          <w:lang w:val="fr-FR"/>
        </w:rPr>
        <w:t>ien maternel n</w:t>
      </w:r>
      <w:r w:rsidR="00E91700">
        <w:rPr>
          <w:lang w:val="fr-FR"/>
        </w:rPr>
        <w:t>’</w:t>
      </w:r>
      <w:r w:rsidR="00DB7FE2">
        <w:rPr>
          <w:lang w:val="fr-FR"/>
        </w:rPr>
        <w:t>avait pas été coupé</w:t>
      </w:r>
      <w:r w:rsidR="000E4DBA">
        <w:rPr>
          <w:lang w:val="fr-FR"/>
        </w:rPr>
        <w:t xml:space="preserve"> de manière définitive</w:t>
      </w:r>
      <w:r w:rsidR="00DB7FE2">
        <w:rPr>
          <w:lang w:val="fr-FR"/>
        </w:rPr>
        <w:t>, le placement</w:t>
      </w:r>
      <w:r>
        <w:rPr>
          <w:lang w:val="fr-FR"/>
        </w:rPr>
        <w:t xml:space="preserve"> n</w:t>
      </w:r>
      <w:r w:rsidR="00E91700">
        <w:rPr>
          <w:lang w:val="fr-FR"/>
        </w:rPr>
        <w:t>’</w:t>
      </w:r>
      <w:r>
        <w:rPr>
          <w:lang w:val="fr-FR"/>
        </w:rPr>
        <w:t>ayant en l</w:t>
      </w:r>
      <w:r w:rsidR="00E91700">
        <w:rPr>
          <w:lang w:val="fr-FR"/>
        </w:rPr>
        <w:t>’</w:t>
      </w:r>
      <w:r>
        <w:rPr>
          <w:lang w:val="fr-FR"/>
        </w:rPr>
        <w:t>espèce revêtu que le caractère d</w:t>
      </w:r>
      <w:r w:rsidR="00E91700">
        <w:rPr>
          <w:lang w:val="fr-FR"/>
        </w:rPr>
        <w:t>’</w:t>
      </w:r>
      <w:r w:rsidR="00DB7FE2">
        <w:rPr>
          <w:lang w:val="fr-FR"/>
        </w:rPr>
        <w:t>une mesure temporaire.</w:t>
      </w:r>
    </w:p>
    <w:p w:rsidR="00C31CD3" w:rsidRDefault="00CA7330" w:rsidP="00CA7330">
      <w:pPr>
        <w:pStyle w:val="ECHRPara"/>
        <w:rPr>
          <w:lang w:val="fr-FR"/>
        </w:rPr>
      </w:pPr>
      <w:r>
        <w:rPr>
          <w:lang w:val="fr-FR"/>
        </w:rPr>
        <w:fldChar w:fldCharType="begin"/>
      </w:r>
      <w:r>
        <w:rPr>
          <w:lang w:val="fr-FR"/>
        </w:rPr>
        <w:instrText xml:space="preserve"> SEQ level0 \*arabic </w:instrText>
      </w:r>
      <w:r>
        <w:rPr>
          <w:lang w:val="fr-FR"/>
        </w:rPr>
        <w:fldChar w:fldCharType="separate"/>
      </w:r>
      <w:r w:rsidR="0096090F">
        <w:rPr>
          <w:noProof/>
          <w:lang w:val="fr-FR"/>
        </w:rPr>
        <w:t>51</w:t>
      </w:r>
      <w:r>
        <w:rPr>
          <w:lang w:val="fr-FR"/>
        </w:rPr>
        <w:fldChar w:fldCharType="end"/>
      </w:r>
      <w:r>
        <w:rPr>
          <w:lang w:val="fr-FR"/>
        </w:rPr>
        <w:t>.  </w:t>
      </w:r>
      <w:r w:rsidRPr="00CA7330">
        <w:rPr>
          <w:rFonts w:eastAsia="Times New Roman"/>
          <w:lang w:val="fr-FR"/>
        </w:rPr>
        <w:t>Dans la présente affaire</w:t>
      </w:r>
      <w:r w:rsidR="00CD4DB6">
        <w:rPr>
          <w:rFonts w:eastAsia="Times New Roman"/>
          <w:lang w:val="fr-FR"/>
        </w:rPr>
        <w:t>,</w:t>
      </w:r>
      <w:r w:rsidRPr="00CA7330">
        <w:rPr>
          <w:rFonts w:eastAsia="Times New Roman"/>
          <w:lang w:val="fr-FR"/>
        </w:rPr>
        <w:t xml:space="preserve"> </w:t>
      </w:r>
      <w:r w:rsidR="006768F4">
        <w:rPr>
          <w:rFonts w:eastAsia="Times New Roman"/>
          <w:lang w:val="fr-FR"/>
        </w:rPr>
        <w:t xml:space="preserve">la procédure </w:t>
      </w:r>
      <w:r w:rsidR="000421B5">
        <w:rPr>
          <w:rFonts w:eastAsia="Times New Roman"/>
          <w:lang w:val="fr-FR"/>
        </w:rPr>
        <w:t xml:space="preserve">de déclaration </w:t>
      </w:r>
      <w:r w:rsidR="006768F4">
        <w:rPr>
          <w:rFonts w:eastAsia="Times New Roman"/>
          <w:lang w:val="fr-FR"/>
        </w:rPr>
        <w:t>d</w:t>
      </w:r>
      <w:r w:rsidR="00E91700">
        <w:rPr>
          <w:rFonts w:eastAsia="Times New Roman"/>
          <w:lang w:val="fr-FR"/>
        </w:rPr>
        <w:t>’</w:t>
      </w:r>
      <w:r w:rsidR="006768F4">
        <w:rPr>
          <w:rFonts w:eastAsia="Times New Roman"/>
          <w:lang w:val="fr-FR"/>
        </w:rPr>
        <w:t xml:space="preserve">adoptabilité des enfants a été ouverte </w:t>
      </w:r>
      <w:r>
        <w:rPr>
          <w:rFonts w:eastAsia="Times New Roman"/>
          <w:lang w:val="fr-FR"/>
        </w:rPr>
        <w:t xml:space="preserve">en raison de </w:t>
      </w:r>
      <w:r>
        <w:rPr>
          <w:lang w:val="fr-FR"/>
        </w:rPr>
        <w:t>l</w:t>
      </w:r>
      <w:r w:rsidR="00E91700">
        <w:rPr>
          <w:lang w:val="fr-FR"/>
        </w:rPr>
        <w:t>’</w:t>
      </w:r>
      <w:r>
        <w:rPr>
          <w:lang w:val="fr-FR"/>
        </w:rPr>
        <w:t xml:space="preserve">aggravation </w:t>
      </w:r>
      <w:r w:rsidR="00A16126">
        <w:rPr>
          <w:lang w:val="fr-FR"/>
        </w:rPr>
        <w:t>de la maladie de la requérant</w:t>
      </w:r>
      <w:r w:rsidR="006768F4">
        <w:rPr>
          <w:lang w:val="fr-FR"/>
        </w:rPr>
        <w:t>e</w:t>
      </w:r>
      <w:r w:rsidR="00A16126">
        <w:rPr>
          <w:lang w:val="fr-FR"/>
        </w:rPr>
        <w:t xml:space="preserve">, </w:t>
      </w:r>
      <w:r w:rsidR="000421B5">
        <w:rPr>
          <w:lang w:val="fr-FR"/>
        </w:rPr>
        <w:t>qui avait conduit à</w:t>
      </w:r>
      <w:r w:rsidR="00A16126">
        <w:rPr>
          <w:lang w:val="fr-FR"/>
        </w:rPr>
        <w:t xml:space="preserve"> son hospitalisation, </w:t>
      </w:r>
      <w:r w:rsidR="006768F4">
        <w:rPr>
          <w:lang w:val="fr-FR"/>
        </w:rPr>
        <w:t xml:space="preserve">et de la </w:t>
      </w:r>
      <w:r w:rsidR="000421B5">
        <w:rPr>
          <w:lang w:val="fr-FR"/>
        </w:rPr>
        <w:t xml:space="preserve">dégradation </w:t>
      </w:r>
      <w:r w:rsidR="006768F4">
        <w:rPr>
          <w:lang w:val="fr-FR"/>
        </w:rPr>
        <w:t xml:space="preserve">de la situation familiale, </w:t>
      </w:r>
      <w:r w:rsidR="00C7637A">
        <w:rPr>
          <w:lang w:val="fr-FR"/>
        </w:rPr>
        <w:t xml:space="preserve">par suite </w:t>
      </w:r>
      <w:r w:rsidR="000A5ED9">
        <w:rPr>
          <w:lang w:val="fr-FR"/>
        </w:rPr>
        <w:t>de la séparation de corps</w:t>
      </w:r>
      <w:r w:rsidR="006768F4">
        <w:rPr>
          <w:lang w:val="fr-FR"/>
        </w:rPr>
        <w:t xml:space="preserve"> </w:t>
      </w:r>
      <w:r w:rsidR="00C7637A">
        <w:rPr>
          <w:lang w:val="fr-FR"/>
        </w:rPr>
        <w:t>du couple parental</w:t>
      </w:r>
      <w:r w:rsidR="006768F4">
        <w:rPr>
          <w:lang w:val="fr-FR"/>
        </w:rPr>
        <w:t>.</w:t>
      </w:r>
    </w:p>
    <w:p w:rsidR="00C31CD3" w:rsidRDefault="000A5ED9" w:rsidP="007A5157">
      <w:pPr>
        <w:pStyle w:val="ECHRPara"/>
        <w:rPr>
          <w:rFonts w:eastAsiaTheme="minorHAnsi"/>
          <w:color w:val="000000"/>
          <w:lang w:val="fr-FR"/>
        </w:rPr>
      </w:pPr>
      <w:r>
        <w:rPr>
          <w:lang w:val="fr-FR"/>
        </w:rPr>
        <w:fldChar w:fldCharType="begin"/>
      </w:r>
      <w:r>
        <w:rPr>
          <w:lang w:val="fr-FR"/>
        </w:rPr>
        <w:instrText xml:space="preserve"> SEQ level0 \*arabic </w:instrText>
      </w:r>
      <w:r>
        <w:rPr>
          <w:lang w:val="fr-FR"/>
        </w:rPr>
        <w:fldChar w:fldCharType="separate"/>
      </w:r>
      <w:r w:rsidR="0096090F">
        <w:rPr>
          <w:noProof/>
          <w:lang w:val="fr-FR"/>
        </w:rPr>
        <w:t>52</w:t>
      </w:r>
      <w:r>
        <w:rPr>
          <w:lang w:val="fr-FR"/>
        </w:rPr>
        <w:fldChar w:fldCharType="end"/>
      </w:r>
      <w:r>
        <w:rPr>
          <w:lang w:val="fr-FR"/>
        </w:rPr>
        <w:t>.  </w:t>
      </w:r>
      <w:r w:rsidR="006768F4">
        <w:rPr>
          <w:lang w:val="fr-FR"/>
        </w:rPr>
        <w:t>La Cour ne doute pas</w:t>
      </w:r>
      <w:r w:rsidR="00F918F0">
        <w:rPr>
          <w:lang w:val="fr-FR"/>
        </w:rPr>
        <w:t xml:space="preserve"> </w:t>
      </w:r>
      <w:r w:rsidR="006768F4">
        <w:rPr>
          <w:lang w:val="fr-FR"/>
        </w:rPr>
        <w:t>de la nécessité</w:t>
      </w:r>
      <w:r w:rsidR="00F918F0" w:rsidRPr="00F918F0">
        <w:rPr>
          <w:lang w:val="fr-FR"/>
        </w:rPr>
        <w:t xml:space="preserve">, dans la situation </w:t>
      </w:r>
      <w:r w:rsidR="00F95D35">
        <w:rPr>
          <w:lang w:val="fr-FR"/>
        </w:rPr>
        <w:t>de l</w:t>
      </w:r>
      <w:r w:rsidR="00E91700">
        <w:rPr>
          <w:lang w:val="fr-FR"/>
        </w:rPr>
        <w:t>’</w:t>
      </w:r>
      <w:r w:rsidR="00F95D35">
        <w:rPr>
          <w:lang w:val="fr-FR"/>
        </w:rPr>
        <w:t xml:space="preserve">espèce, </w:t>
      </w:r>
      <w:r w:rsidR="006768F4">
        <w:rPr>
          <w:lang w:val="fr-FR"/>
        </w:rPr>
        <w:t>d</w:t>
      </w:r>
      <w:r w:rsidR="00E91700">
        <w:rPr>
          <w:lang w:val="fr-FR"/>
        </w:rPr>
        <w:t>’</w:t>
      </w:r>
      <w:r w:rsidR="002A7703">
        <w:rPr>
          <w:lang w:val="fr-FR"/>
        </w:rPr>
        <w:t xml:space="preserve">une </w:t>
      </w:r>
      <w:r w:rsidR="006768F4">
        <w:rPr>
          <w:lang w:val="fr-FR"/>
        </w:rPr>
        <w:t xml:space="preserve">intervention des autorités compétentes </w:t>
      </w:r>
      <w:r w:rsidR="002A7703">
        <w:rPr>
          <w:lang w:val="fr-FR"/>
        </w:rPr>
        <w:t>aux fins de</w:t>
      </w:r>
      <w:r w:rsidR="006768F4">
        <w:rPr>
          <w:lang w:val="fr-FR"/>
        </w:rPr>
        <w:t xml:space="preserve"> protéger l</w:t>
      </w:r>
      <w:r w:rsidR="00E91700">
        <w:rPr>
          <w:lang w:val="fr-FR"/>
        </w:rPr>
        <w:t>’</w:t>
      </w:r>
      <w:r w:rsidR="006768F4">
        <w:rPr>
          <w:lang w:val="fr-FR"/>
        </w:rPr>
        <w:t xml:space="preserve">intérêt des enfants. Elle doute toutefois du caractère adéquat de </w:t>
      </w:r>
      <w:r w:rsidR="002A7703">
        <w:rPr>
          <w:lang w:val="fr-FR"/>
        </w:rPr>
        <w:t>l</w:t>
      </w:r>
      <w:r w:rsidR="00E91700">
        <w:rPr>
          <w:lang w:val="fr-FR"/>
        </w:rPr>
        <w:t>’</w:t>
      </w:r>
      <w:r w:rsidR="006768F4">
        <w:rPr>
          <w:lang w:val="fr-FR"/>
        </w:rPr>
        <w:t>in</w:t>
      </w:r>
      <w:r>
        <w:rPr>
          <w:lang w:val="fr-FR"/>
        </w:rPr>
        <w:t xml:space="preserve">tervention </w:t>
      </w:r>
      <w:r w:rsidR="002A7703">
        <w:rPr>
          <w:lang w:val="fr-FR"/>
        </w:rPr>
        <w:t xml:space="preserve">choisie </w:t>
      </w:r>
      <w:r>
        <w:rPr>
          <w:lang w:val="fr-FR"/>
        </w:rPr>
        <w:t>et</w:t>
      </w:r>
      <w:r w:rsidR="006768F4">
        <w:rPr>
          <w:lang w:val="fr-FR"/>
        </w:rPr>
        <w:t xml:space="preserve"> </w:t>
      </w:r>
      <w:r w:rsidR="005F2E68">
        <w:rPr>
          <w:lang w:val="fr-FR"/>
        </w:rPr>
        <w:t xml:space="preserve">estime </w:t>
      </w:r>
      <w:r w:rsidR="006768F4">
        <w:rPr>
          <w:lang w:val="fr-FR"/>
        </w:rPr>
        <w:t xml:space="preserve">que </w:t>
      </w:r>
      <w:r w:rsidR="006768F4" w:rsidRPr="00B81579">
        <w:rPr>
          <w:rFonts w:eastAsia="Times New Roman"/>
          <w:lang w:val="fr-FR"/>
        </w:rPr>
        <w:t>les autorités nationales n</w:t>
      </w:r>
      <w:r w:rsidR="00E91700">
        <w:rPr>
          <w:rFonts w:eastAsia="Times New Roman"/>
          <w:lang w:val="fr-FR"/>
        </w:rPr>
        <w:t>’</w:t>
      </w:r>
      <w:r w:rsidR="006768F4" w:rsidRPr="00B81579">
        <w:rPr>
          <w:rFonts w:eastAsia="Times New Roman"/>
          <w:lang w:val="fr-FR"/>
        </w:rPr>
        <w:t>ont pas suffisamment œuvré afin de sauvegarder le lien mère-enfants</w:t>
      </w:r>
      <w:r w:rsidR="006768F4">
        <w:rPr>
          <w:rFonts w:eastAsia="Times New Roman"/>
          <w:lang w:val="fr-FR"/>
        </w:rPr>
        <w:t xml:space="preserve">. </w:t>
      </w:r>
      <w:r w:rsidRPr="008B0340">
        <w:rPr>
          <w:rFonts w:eastAsia="Times New Roman"/>
          <w:lang w:val="fr-FR"/>
        </w:rPr>
        <w:t xml:space="preserve">Elle </w:t>
      </w:r>
      <w:r w:rsidR="005F2E68" w:rsidRPr="008B0340">
        <w:rPr>
          <w:rFonts w:eastAsia="Times New Roman"/>
          <w:lang w:val="fr-FR"/>
        </w:rPr>
        <w:t xml:space="preserve">observe </w:t>
      </w:r>
      <w:r w:rsidR="00F918F0" w:rsidRPr="008B0340">
        <w:rPr>
          <w:rFonts w:eastAsia="Times New Roman"/>
          <w:lang w:val="fr-FR"/>
        </w:rPr>
        <w:t>en effet</w:t>
      </w:r>
      <w:r w:rsidRPr="008B0340">
        <w:rPr>
          <w:rFonts w:eastAsia="Times New Roman"/>
          <w:lang w:val="fr-FR"/>
        </w:rPr>
        <w:t xml:space="preserve"> que d</w:t>
      </w:r>
      <w:r w:rsidR="00E91700">
        <w:rPr>
          <w:rFonts w:eastAsia="Times New Roman"/>
          <w:lang w:val="fr-FR"/>
        </w:rPr>
        <w:t>’</w:t>
      </w:r>
      <w:r w:rsidRPr="008B0340">
        <w:rPr>
          <w:rFonts w:eastAsia="Times New Roman"/>
          <w:lang w:val="fr-FR"/>
        </w:rPr>
        <w:t>autres solutions</w:t>
      </w:r>
      <w:r w:rsidR="00F95D35" w:rsidRPr="008B0340">
        <w:rPr>
          <w:rFonts w:eastAsia="Times New Roman"/>
          <w:lang w:val="fr-FR"/>
        </w:rPr>
        <w:t xml:space="preserve"> </w:t>
      </w:r>
      <w:r w:rsidRPr="008B0340">
        <w:rPr>
          <w:rFonts w:eastAsia="Times New Roman"/>
          <w:lang w:val="fr-FR"/>
        </w:rPr>
        <w:t>étaient praticables, telles que celles envisagées par l</w:t>
      </w:r>
      <w:r w:rsidR="00E91700">
        <w:rPr>
          <w:rFonts w:eastAsia="Times New Roman"/>
          <w:lang w:val="fr-FR"/>
        </w:rPr>
        <w:t>’</w:t>
      </w:r>
      <w:r w:rsidR="003E4F79">
        <w:rPr>
          <w:rFonts w:eastAsia="Times New Roman"/>
          <w:lang w:val="fr-FR"/>
        </w:rPr>
        <w:t>expert</w:t>
      </w:r>
      <w:r w:rsidR="007A5157" w:rsidRPr="008B0340">
        <w:rPr>
          <w:rFonts w:eastAsia="Times New Roman"/>
          <w:lang w:val="fr-FR"/>
        </w:rPr>
        <w:t xml:space="preserve"> </w:t>
      </w:r>
      <w:r w:rsidR="007A5157" w:rsidRPr="008B0340">
        <w:rPr>
          <w:rFonts w:eastAsiaTheme="minorHAnsi"/>
          <w:color w:val="000000"/>
          <w:lang w:val="fr-FR"/>
        </w:rPr>
        <w:t>et notamment la mise en place d</w:t>
      </w:r>
      <w:r w:rsidR="00E91700">
        <w:rPr>
          <w:rFonts w:eastAsiaTheme="minorHAnsi"/>
          <w:color w:val="000000"/>
          <w:lang w:val="fr-FR"/>
        </w:rPr>
        <w:t>’</w:t>
      </w:r>
      <w:r w:rsidR="007A5157" w:rsidRPr="008B0340">
        <w:rPr>
          <w:rFonts w:eastAsiaTheme="minorHAnsi"/>
          <w:color w:val="000000"/>
          <w:lang w:val="fr-FR"/>
        </w:rPr>
        <w:t xml:space="preserve">une assistance sociale ciblée </w:t>
      </w:r>
      <w:r w:rsidR="005F2E68" w:rsidRPr="008B0340">
        <w:rPr>
          <w:rFonts w:eastAsiaTheme="minorHAnsi"/>
          <w:color w:val="000000"/>
          <w:lang w:val="fr-FR"/>
        </w:rPr>
        <w:t xml:space="preserve">de nature à permettre de </w:t>
      </w:r>
      <w:r w:rsidR="007A5157" w:rsidRPr="008B0340">
        <w:rPr>
          <w:rFonts w:eastAsiaTheme="minorHAnsi"/>
          <w:color w:val="000000"/>
          <w:lang w:val="fr-FR"/>
        </w:rPr>
        <w:t>surmonter les difficultés liées à l</w:t>
      </w:r>
      <w:r w:rsidR="00E91700">
        <w:rPr>
          <w:rFonts w:eastAsiaTheme="minorHAnsi"/>
          <w:color w:val="000000"/>
          <w:lang w:val="fr-FR"/>
        </w:rPr>
        <w:t>’</w:t>
      </w:r>
      <w:r w:rsidR="007A5157" w:rsidRPr="008B0340">
        <w:rPr>
          <w:rFonts w:eastAsiaTheme="minorHAnsi"/>
          <w:color w:val="000000"/>
          <w:lang w:val="fr-FR"/>
        </w:rPr>
        <w:t xml:space="preserve">état de santé de la requérante, en préservant le lien familial </w:t>
      </w:r>
      <w:r w:rsidR="00E06C51" w:rsidRPr="008B0340">
        <w:rPr>
          <w:rFonts w:eastAsiaTheme="minorHAnsi"/>
          <w:color w:val="000000"/>
          <w:lang w:val="fr-FR"/>
        </w:rPr>
        <w:t xml:space="preserve">tout </w:t>
      </w:r>
      <w:r w:rsidR="007A5157" w:rsidRPr="008B0340">
        <w:rPr>
          <w:rFonts w:eastAsiaTheme="minorHAnsi"/>
          <w:color w:val="000000"/>
          <w:lang w:val="fr-FR"/>
        </w:rPr>
        <w:t>en assurant la protection de l</w:t>
      </w:r>
      <w:r w:rsidR="00E91700">
        <w:rPr>
          <w:rFonts w:eastAsiaTheme="minorHAnsi"/>
          <w:color w:val="000000"/>
          <w:lang w:val="fr-FR"/>
        </w:rPr>
        <w:t>’</w:t>
      </w:r>
      <w:r w:rsidR="007A5157" w:rsidRPr="008B0340">
        <w:rPr>
          <w:rFonts w:eastAsiaTheme="minorHAnsi"/>
          <w:color w:val="000000"/>
          <w:lang w:val="fr-FR"/>
        </w:rPr>
        <w:t>intérêt supérieur des enfants.</w:t>
      </w:r>
    </w:p>
    <w:p w:rsidR="0038481D" w:rsidRDefault="007A5157" w:rsidP="0038481D">
      <w:pPr>
        <w:pStyle w:val="ECHRPara"/>
        <w:rPr>
          <w:rFonts w:eastAsiaTheme="minorHAnsi"/>
          <w:color w:val="000000"/>
          <w:lang w:val="fr-FR"/>
        </w:rPr>
      </w:pPr>
      <w:r>
        <w:rPr>
          <w:rFonts w:eastAsiaTheme="minorHAnsi"/>
          <w:color w:val="000000"/>
          <w:lang w:val="fr-FR"/>
        </w:rPr>
        <w:fldChar w:fldCharType="begin"/>
      </w:r>
      <w:r>
        <w:rPr>
          <w:rFonts w:eastAsiaTheme="minorHAnsi"/>
          <w:color w:val="000000"/>
          <w:lang w:val="fr-FR"/>
        </w:rPr>
        <w:instrText xml:space="preserve"> SEQ level0 \*arabic </w:instrText>
      </w:r>
      <w:r>
        <w:rPr>
          <w:rFonts w:eastAsiaTheme="minorHAnsi"/>
          <w:color w:val="000000"/>
          <w:lang w:val="fr-FR"/>
        </w:rPr>
        <w:fldChar w:fldCharType="separate"/>
      </w:r>
      <w:r w:rsidR="0096090F">
        <w:rPr>
          <w:rFonts w:eastAsiaTheme="minorHAnsi"/>
          <w:noProof/>
          <w:color w:val="000000"/>
          <w:lang w:val="fr-FR"/>
        </w:rPr>
        <w:t>53</w:t>
      </w:r>
      <w:r>
        <w:rPr>
          <w:rFonts w:eastAsiaTheme="minorHAnsi"/>
          <w:color w:val="000000"/>
          <w:lang w:val="fr-FR"/>
        </w:rPr>
        <w:fldChar w:fldCharType="end"/>
      </w:r>
      <w:r>
        <w:rPr>
          <w:rFonts w:eastAsiaTheme="minorHAnsi"/>
          <w:color w:val="000000"/>
          <w:lang w:val="fr-FR"/>
        </w:rPr>
        <w:t>.  La Cour</w:t>
      </w:r>
      <w:r w:rsidR="000A5ED9">
        <w:rPr>
          <w:rFonts w:eastAsiaTheme="minorHAnsi"/>
          <w:color w:val="000000"/>
          <w:lang w:val="fr-FR"/>
        </w:rPr>
        <w:t xml:space="preserve"> </w:t>
      </w:r>
      <w:r w:rsidR="00F918F0">
        <w:rPr>
          <w:rFonts w:eastAsiaTheme="minorHAnsi"/>
          <w:color w:val="000000"/>
          <w:lang w:val="fr-FR"/>
        </w:rPr>
        <w:t xml:space="preserve">accorde de </w:t>
      </w:r>
      <w:r w:rsidR="000A5ED9">
        <w:rPr>
          <w:rFonts w:eastAsiaTheme="minorHAnsi"/>
          <w:color w:val="000000"/>
          <w:lang w:val="fr-FR"/>
        </w:rPr>
        <w:t>l</w:t>
      </w:r>
      <w:r w:rsidR="00E91700">
        <w:rPr>
          <w:rFonts w:eastAsiaTheme="minorHAnsi"/>
          <w:color w:val="000000"/>
          <w:lang w:val="fr-FR"/>
        </w:rPr>
        <w:t>’</w:t>
      </w:r>
      <w:r w:rsidR="000A5ED9">
        <w:rPr>
          <w:rFonts w:eastAsiaTheme="minorHAnsi"/>
          <w:color w:val="000000"/>
          <w:lang w:val="fr-FR"/>
        </w:rPr>
        <w:t xml:space="preserve">attention </w:t>
      </w:r>
      <w:r w:rsidR="00F918F0">
        <w:rPr>
          <w:rFonts w:eastAsiaTheme="minorHAnsi"/>
          <w:color w:val="000000"/>
          <w:lang w:val="fr-FR"/>
        </w:rPr>
        <w:t>au</w:t>
      </w:r>
      <w:r w:rsidR="000A5ED9">
        <w:rPr>
          <w:rFonts w:eastAsiaTheme="minorHAnsi"/>
          <w:color w:val="000000"/>
          <w:lang w:val="fr-FR"/>
        </w:rPr>
        <w:t xml:space="preserve"> fait qu</w:t>
      </w:r>
      <w:r w:rsidR="00E91700">
        <w:rPr>
          <w:rFonts w:eastAsiaTheme="minorHAnsi"/>
          <w:color w:val="000000"/>
          <w:lang w:val="fr-FR"/>
        </w:rPr>
        <w:t>’</w:t>
      </w:r>
      <w:r w:rsidR="000A5ED9">
        <w:rPr>
          <w:rFonts w:eastAsiaTheme="minorHAnsi"/>
          <w:color w:val="000000"/>
          <w:lang w:val="fr-FR"/>
        </w:rPr>
        <w:t>à plusieurs reprises</w:t>
      </w:r>
      <w:r w:rsidR="00612F02">
        <w:rPr>
          <w:rFonts w:eastAsiaTheme="minorHAnsi"/>
          <w:color w:val="000000"/>
          <w:lang w:val="fr-FR"/>
        </w:rPr>
        <w:t>,</w:t>
      </w:r>
      <w:r w:rsidR="000A5ED9">
        <w:rPr>
          <w:rFonts w:eastAsiaTheme="minorHAnsi"/>
          <w:color w:val="000000"/>
          <w:lang w:val="fr-FR"/>
        </w:rPr>
        <w:t xml:space="preserve"> la requérante </w:t>
      </w:r>
      <w:r w:rsidR="00E06C51">
        <w:rPr>
          <w:rFonts w:eastAsiaTheme="minorHAnsi"/>
          <w:color w:val="000000"/>
          <w:lang w:val="fr-FR"/>
        </w:rPr>
        <w:t xml:space="preserve">avait sollicité </w:t>
      </w:r>
      <w:r w:rsidR="000A5ED9">
        <w:rPr>
          <w:rFonts w:eastAsiaTheme="minorHAnsi"/>
          <w:color w:val="000000"/>
          <w:lang w:val="fr-FR"/>
        </w:rPr>
        <w:t>l</w:t>
      </w:r>
      <w:r w:rsidR="00E91700">
        <w:rPr>
          <w:rFonts w:eastAsiaTheme="minorHAnsi"/>
          <w:color w:val="000000"/>
          <w:lang w:val="fr-FR"/>
        </w:rPr>
        <w:t>’</w:t>
      </w:r>
      <w:r w:rsidR="000A5ED9">
        <w:rPr>
          <w:rFonts w:eastAsiaTheme="minorHAnsi"/>
          <w:color w:val="000000"/>
          <w:lang w:val="fr-FR"/>
        </w:rPr>
        <w:t>intervention des services sociaux afin d</w:t>
      </w:r>
      <w:r w:rsidR="00E91700">
        <w:rPr>
          <w:rFonts w:eastAsiaTheme="minorHAnsi"/>
          <w:color w:val="000000"/>
          <w:lang w:val="fr-FR"/>
        </w:rPr>
        <w:t>’</w:t>
      </w:r>
      <w:r w:rsidR="000A5ED9">
        <w:rPr>
          <w:rFonts w:eastAsiaTheme="minorHAnsi"/>
          <w:color w:val="000000"/>
          <w:lang w:val="fr-FR"/>
        </w:rPr>
        <w:t>être aidée à s</w:t>
      </w:r>
      <w:r w:rsidR="00E91700">
        <w:rPr>
          <w:rFonts w:eastAsiaTheme="minorHAnsi"/>
          <w:color w:val="000000"/>
          <w:lang w:val="fr-FR"/>
        </w:rPr>
        <w:t>’</w:t>
      </w:r>
      <w:r w:rsidR="000A5ED9">
        <w:rPr>
          <w:rFonts w:eastAsiaTheme="minorHAnsi"/>
          <w:color w:val="000000"/>
          <w:lang w:val="fr-FR"/>
        </w:rPr>
        <w:t xml:space="preserve">occuper au mieux de ses enfants. </w:t>
      </w:r>
      <w:r w:rsidR="00F918F0">
        <w:rPr>
          <w:rFonts w:eastAsiaTheme="minorHAnsi"/>
          <w:color w:val="000000"/>
          <w:lang w:val="fr-FR"/>
        </w:rPr>
        <w:t xml:space="preserve">Aux yeux de la </w:t>
      </w:r>
      <w:r w:rsidR="000A5ED9">
        <w:rPr>
          <w:rFonts w:eastAsiaTheme="minorHAnsi"/>
          <w:color w:val="000000"/>
          <w:lang w:val="fr-FR"/>
        </w:rPr>
        <w:t>Cour</w:t>
      </w:r>
      <w:r w:rsidR="00F918F0">
        <w:rPr>
          <w:rFonts w:eastAsiaTheme="minorHAnsi"/>
          <w:color w:val="000000"/>
          <w:lang w:val="fr-FR"/>
        </w:rPr>
        <w:t>, on</w:t>
      </w:r>
      <w:r w:rsidR="000A5ED9">
        <w:rPr>
          <w:rFonts w:eastAsiaTheme="minorHAnsi"/>
          <w:color w:val="000000"/>
          <w:lang w:val="fr-FR"/>
        </w:rPr>
        <w:t xml:space="preserve"> ne peut pas </w:t>
      </w:r>
      <w:r w:rsidR="00F918F0">
        <w:rPr>
          <w:rFonts w:eastAsiaTheme="minorHAnsi"/>
          <w:color w:val="000000"/>
          <w:lang w:val="fr-FR"/>
        </w:rPr>
        <w:t>retenir</w:t>
      </w:r>
      <w:r w:rsidR="00A9667A">
        <w:rPr>
          <w:rFonts w:eastAsiaTheme="minorHAnsi"/>
          <w:color w:val="000000"/>
          <w:lang w:val="fr-FR"/>
        </w:rPr>
        <w:t xml:space="preserve"> </w:t>
      </w:r>
      <w:r w:rsidR="000A5ED9">
        <w:rPr>
          <w:rFonts w:eastAsiaTheme="minorHAnsi"/>
          <w:color w:val="000000"/>
          <w:lang w:val="fr-FR"/>
        </w:rPr>
        <w:t>l</w:t>
      </w:r>
      <w:r w:rsidR="00E91700">
        <w:rPr>
          <w:rFonts w:eastAsiaTheme="minorHAnsi"/>
          <w:color w:val="000000"/>
          <w:lang w:val="fr-FR"/>
        </w:rPr>
        <w:t>’</w:t>
      </w:r>
      <w:r w:rsidR="000A5ED9">
        <w:rPr>
          <w:rFonts w:eastAsiaTheme="minorHAnsi"/>
          <w:color w:val="000000"/>
          <w:lang w:val="fr-FR"/>
        </w:rPr>
        <w:t>argument du Gouvernement selon lequel les sollicitations de la requérante montreraient son incapacité à exercer le rôle de parent et justifi</w:t>
      </w:r>
      <w:r w:rsidR="003121DA">
        <w:rPr>
          <w:rFonts w:eastAsiaTheme="minorHAnsi"/>
          <w:color w:val="000000"/>
          <w:lang w:val="fr-FR"/>
        </w:rPr>
        <w:t>er</w:t>
      </w:r>
      <w:r w:rsidR="000A5ED9">
        <w:rPr>
          <w:rFonts w:eastAsiaTheme="minorHAnsi"/>
          <w:color w:val="000000"/>
          <w:lang w:val="fr-FR"/>
        </w:rPr>
        <w:t>aient la décision du tribunal de déclarer les enfants adoptables. La</w:t>
      </w:r>
      <w:r w:rsidR="0038481D">
        <w:rPr>
          <w:rFonts w:eastAsiaTheme="minorHAnsi"/>
          <w:color w:val="000000"/>
          <w:lang w:val="fr-FR"/>
        </w:rPr>
        <w:t xml:space="preserve"> Cour estime qu</w:t>
      </w:r>
      <w:r w:rsidR="00E91700">
        <w:rPr>
          <w:rFonts w:eastAsiaTheme="minorHAnsi"/>
          <w:color w:val="000000"/>
          <w:lang w:val="fr-FR"/>
        </w:rPr>
        <w:t>’</w:t>
      </w:r>
      <w:r w:rsidR="0038481D">
        <w:rPr>
          <w:rFonts w:eastAsiaTheme="minorHAnsi"/>
          <w:color w:val="000000"/>
          <w:lang w:val="fr-FR"/>
        </w:rPr>
        <w:t>une réaction des autorités aux demandes d</w:t>
      </w:r>
      <w:r w:rsidR="00E91700">
        <w:rPr>
          <w:rFonts w:eastAsiaTheme="minorHAnsi"/>
          <w:color w:val="000000"/>
          <w:lang w:val="fr-FR"/>
        </w:rPr>
        <w:t>’</w:t>
      </w:r>
      <w:r w:rsidR="0038481D">
        <w:rPr>
          <w:rFonts w:eastAsiaTheme="minorHAnsi"/>
          <w:color w:val="000000"/>
          <w:lang w:val="fr-FR"/>
        </w:rPr>
        <w:t>aide de la requérante aurait pu sauvegarder à la fois l</w:t>
      </w:r>
      <w:r w:rsidR="00E91700">
        <w:rPr>
          <w:rFonts w:eastAsiaTheme="minorHAnsi"/>
          <w:color w:val="000000"/>
          <w:lang w:val="fr-FR"/>
        </w:rPr>
        <w:t>’</w:t>
      </w:r>
      <w:r w:rsidR="0038481D">
        <w:rPr>
          <w:rFonts w:eastAsiaTheme="minorHAnsi"/>
          <w:color w:val="000000"/>
          <w:lang w:val="fr-FR"/>
        </w:rPr>
        <w:t xml:space="preserve">intérêt des enfants et le lien maternel. </w:t>
      </w:r>
      <w:r w:rsidR="009B181F">
        <w:rPr>
          <w:rFonts w:eastAsiaTheme="minorHAnsi"/>
          <w:color w:val="000000"/>
          <w:lang w:val="fr-FR"/>
        </w:rPr>
        <w:t>De surcroît,</w:t>
      </w:r>
      <w:r w:rsidR="0038481D">
        <w:rPr>
          <w:rFonts w:eastAsiaTheme="minorHAnsi"/>
          <w:color w:val="000000"/>
          <w:lang w:val="fr-FR"/>
        </w:rPr>
        <w:t xml:space="preserve"> une solution de ce type </w:t>
      </w:r>
      <w:r w:rsidR="00BB4212">
        <w:rPr>
          <w:rFonts w:eastAsiaTheme="minorHAnsi"/>
          <w:color w:val="000000"/>
          <w:lang w:val="fr-FR"/>
        </w:rPr>
        <w:t>aurait</w:t>
      </w:r>
      <w:r w:rsidR="00E06C51">
        <w:rPr>
          <w:rFonts w:eastAsiaTheme="minorHAnsi"/>
          <w:color w:val="000000"/>
          <w:lang w:val="fr-FR"/>
        </w:rPr>
        <w:t xml:space="preserve"> été </w:t>
      </w:r>
      <w:r w:rsidR="0038481D">
        <w:rPr>
          <w:rFonts w:eastAsiaTheme="minorHAnsi"/>
          <w:color w:val="000000"/>
          <w:lang w:val="fr-FR"/>
        </w:rPr>
        <w:t xml:space="preserve">conforme aux </w:t>
      </w:r>
      <w:r w:rsidR="003E4F79">
        <w:rPr>
          <w:rFonts w:eastAsiaTheme="minorHAnsi"/>
          <w:color w:val="000000"/>
          <w:lang w:val="fr-FR"/>
        </w:rPr>
        <w:t>préconisations du</w:t>
      </w:r>
      <w:r w:rsidR="0038481D">
        <w:rPr>
          <w:rFonts w:eastAsiaTheme="minorHAnsi"/>
          <w:color w:val="000000"/>
          <w:lang w:val="fr-FR"/>
        </w:rPr>
        <w:t xml:space="preserve"> rapport d</w:t>
      </w:r>
      <w:r w:rsidR="00E91700">
        <w:rPr>
          <w:rFonts w:eastAsiaTheme="minorHAnsi"/>
          <w:color w:val="000000"/>
          <w:lang w:val="fr-FR"/>
        </w:rPr>
        <w:t>’</w:t>
      </w:r>
      <w:r w:rsidR="0038481D">
        <w:rPr>
          <w:rFonts w:eastAsiaTheme="minorHAnsi"/>
          <w:color w:val="000000"/>
          <w:lang w:val="fr-FR"/>
        </w:rPr>
        <w:t xml:space="preserve">expertise et aux dispositions de la loi selon lesquelles la rupture définitive du lien familial doit </w:t>
      </w:r>
      <w:r w:rsidR="009B181F">
        <w:rPr>
          <w:rFonts w:eastAsiaTheme="minorHAnsi"/>
          <w:color w:val="000000"/>
          <w:lang w:val="fr-FR"/>
        </w:rPr>
        <w:t xml:space="preserve">rester </w:t>
      </w:r>
      <w:r w:rsidR="0038481D">
        <w:rPr>
          <w:rFonts w:eastAsiaTheme="minorHAnsi"/>
          <w:color w:val="000000"/>
          <w:lang w:val="fr-FR"/>
        </w:rPr>
        <w:t>l</w:t>
      </w:r>
      <w:r w:rsidR="00E91700">
        <w:rPr>
          <w:rFonts w:eastAsiaTheme="minorHAnsi"/>
          <w:color w:val="000000"/>
          <w:lang w:val="fr-FR"/>
        </w:rPr>
        <w:t>’</w:t>
      </w:r>
      <w:r w:rsidR="00BB4212" w:rsidRPr="00BB4212">
        <w:rPr>
          <w:rFonts w:eastAsiaTheme="minorHAnsi"/>
          <w:i/>
          <w:color w:val="000000"/>
          <w:lang w:val="fr-FR"/>
        </w:rPr>
        <w:t>extrema</w:t>
      </w:r>
      <w:r w:rsidR="0038481D">
        <w:rPr>
          <w:rFonts w:eastAsiaTheme="minorHAnsi"/>
          <w:color w:val="000000"/>
          <w:lang w:val="fr-FR"/>
        </w:rPr>
        <w:t xml:space="preserve"> </w:t>
      </w:r>
      <w:r w:rsidR="0038481D" w:rsidRPr="0038481D">
        <w:rPr>
          <w:rFonts w:eastAsiaTheme="minorHAnsi"/>
          <w:i/>
          <w:color w:val="000000"/>
          <w:lang w:val="fr-FR"/>
        </w:rPr>
        <w:t>ratio</w:t>
      </w:r>
      <w:r w:rsidR="00595AFD">
        <w:rPr>
          <w:rFonts w:eastAsiaTheme="minorHAnsi"/>
          <w:color w:val="000000"/>
          <w:lang w:val="fr-FR"/>
        </w:rPr>
        <w:t>.</w:t>
      </w:r>
    </w:p>
    <w:p w:rsidR="00C31CD3" w:rsidRDefault="0038481D" w:rsidP="0038481D">
      <w:pPr>
        <w:pStyle w:val="ECHRPara"/>
        <w:rPr>
          <w:lang w:val="fr-FR"/>
        </w:rPr>
      </w:pPr>
      <w:r>
        <w:rPr>
          <w:rFonts w:eastAsiaTheme="minorHAnsi"/>
          <w:color w:val="000000"/>
          <w:lang w:val="fr-FR"/>
        </w:rPr>
        <w:fldChar w:fldCharType="begin"/>
      </w:r>
      <w:r>
        <w:rPr>
          <w:rFonts w:eastAsiaTheme="minorHAnsi"/>
          <w:color w:val="000000"/>
          <w:lang w:val="fr-FR"/>
        </w:rPr>
        <w:instrText xml:space="preserve"> SEQ level0 \*arabic </w:instrText>
      </w:r>
      <w:r>
        <w:rPr>
          <w:rFonts w:eastAsiaTheme="minorHAnsi"/>
          <w:color w:val="000000"/>
          <w:lang w:val="fr-FR"/>
        </w:rPr>
        <w:fldChar w:fldCharType="separate"/>
      </w:r>
      <w:r w:rsidR="0096090F">
        <w:rPr>
          <w:rFonts w:eastAsiaTheme="minorHAnsi"/>
          <w:noProof/>
          <w:color w:val="000000"/>
          <w:lang w:val="fr-FR"/>
        </w:rPr>
        <w:t>54</w:t>
      </w:r>
      <w:r>
        <w:rPr>
          <w:rFonts w:eastAsiaTheme="minorHAnsi"/>
          <w:color w:val="000000"/>
          <w:lang w:val="fr-FR"/>
        </w:rPr>
        <w:fldChar w:fldCharType="end"/>
      </w:r>
      <w:r>
        <w:rPr>
          <w:rFonts w:eastAsiaTheme="minorHAnsi"/>
          <w:color w:val="000000"/>
          <w:lang w:val="fr-FR"/>
        </w:rPr>
        <w:t>.  </w:t>
      </w:r>
      <w:r w:rsidR="00784054" w:rsidRPr="000E6D7E">
        <w:rPr>
          <w:lang w:val="fr-FR"/>
        </w:rPr>
        <w:t>La Cour réaffirme que le rôle des autorités de protection sociale est précisément d</w:t>
      </w:r>
      <w:r w:rsidR="00E91700">
        <w:rPr>
          <w:lang w:val="fr-FR"/>
        </w:rPr>
        <w:t>’</w:t>
      </w:r>
      <w:r w:rsidR="00784054" w:rsidRPr="000E6D7E">
        <w:rPr>
          <w:lang w:val="fr-FR"/>
        </w:rPr>
        <w:t>aider les personnes en difficulté, de les guider dans leurs démarches et de les conseiller, entre autres, quant aux moyens de surmonter leurs difficultés (</w:t>
      </w:r>
      <w:proofErr w:type="spellStart"/>
      <w:r w:rsidR="00784054" w:rsidRPr="000E6D7E">
        <w:rPr>
          <w:i/>
          <w:lang w:val="fr-FR"/>
        </w:rPr>
        <w:t>Saviny</w:t>
      </w:r>
      <w:proofErr w:type="spellEnd"/>
      <w:r w:rsidR="00784054" w:rsidRPr="000E6D7E">
        <w:rPr>
          <w:i/>
          <w:lang w:val="fr-FR"/>
        </w:rPr>
        <w:t xml:space="preserve"> c. Ukraine</w:t>
      </w:r>
      <w:r w:rsidR="00784054" w:rsidRPr="000E6D7E">
        <w:rPr>
          <w:lang w:val="fr-FR"/>
        </w:rPr>
        <w:t>, n</w:t>
      </w:r>
      <w:r w:rsidR="00784054" w:rsidRPr="000E6D7E">
        <w:rPr>
          <w:vertAlign w:val="superscript"/>
          <w:lang w:val="fr-FR"/>
        </w:rPr>
        <w:t>o</w:t>
      </w:r>
      <w:r w:rsidR="005D0E24">
        <w:rPr>
          <w:lang w:val="fr-FR"/>
        </w:rPr>
        <w:t> </w:t>
      </w:r>
      <w:r w:rsidR="00784054" w:rsidRPr="000E6D7E">
        <w:rPr>
          <w:lang w:val="fr-FR"/>
        </w:rPr>
        <w:t xml:space="preserve">39948/06, § 57, 18 décembre 2008 ; </w:t>
      </w:r>
      <w:r w:rsidR="00784054" w:rsidRPr="000E6D7E">
        <w:rPr>
          <w:i/>
          <w:lang w:val="fr-FR"/>
        </w:rPr>
        <w:t>R.M.S. c. Espagne</w:t>
      </w:r>
      <w:r w:rsidR="00784054" w:rsidRPr="000E6D7E">
        <w:rPr>
          <w:lang w:val="fr-FR"/>
        </w:rPr>
        <w:t xml:space="preserve"> n</w:t>
      </w:r>
      <w:r w:rsidR="00784054" w:rsidRPr="000E6D7E">
        <w:rPr>
          <w:vertAlign w:val="superscript"/>
          <w:lang w:val="fr-FR"/>
        </w:rPr>
        <w:t>o</w:t>
      </w:r>
      <w:r w:rsidR="00784054" w:rsidRPr="000E6D7E">
        <w:rPr>
          <w:lang w:val="fr-FR"/>
        </w:rPr>
        <w:t> </w:t>
      </w:r>
      <w:r w:rsidR="003121DA">
        <w:rPr>
          <w:lang w:val="fr-FR"/>
        </w:rPr>
        <w:t>28775/12</w:t>
      </w:r>
      <w:r w:rsidR="00784054" w:rsidRPr="000E6D7E">
        <w:rPr>
          <w:lang w:val="fr-FR"/>
        </w:rPr>
        <w:t>, § 86, 18 juin 2013). Dans le cas des personnes vulnérables, les autorités doivent faire preuve d</w:t>
      </w:r>
      <w:r w:rsidR="00E91700">
        <w:rPr>
          <w:lang w:val="fr-FR"/>
        </w:rPr>
        <w:t>’</w:t>
      </w:r>
      <w:r w:rsidR="00784054" w:rsidRPr="000E6D7E">
        <w:rPr>
          <w:lang w:val="fr-FR"/>
        </w:rPr>
        <w:t xml:space="preserve">une attention particulière et doivent leur assurer </w:t>
      </w:r>
      <w:r w:rsidR="00784054" w:rsidRPr="00C2548D">
        <w:rPr>
          <w:lang w:val="fr-FR"/>
        </w:rPr>
        <w:t>une protection accrue (</w:t>
      </w:r>
      <w:r w:rsidR="00784054" w:rsidRPr="00C2548D">
        <w:rPr>
          <w:i/>
          <w:lang w:val="fr-FR"/>
        </w:rPr>
        <w:t xml:space="preserve">B. c. Roumanie </w:t>
      </w:r>
      <w:r w:rsidR="00784054" w:rsidRPr="00C2548D">
        <w:rPr>
          <w:i/>
          <w:lang w:val="fr-FR"/>
        </w:rPr>
        <w:lastRenderedPageBreak/>
        <w:t>(n</w:t>
      </w:r>
      <w:r w:rsidR="00784054" w:rsidRPr="00C2548D">
        <w:rPr>
          <w:i/>
          <w:vertAlign w:val="superscript"/>
          <w:lang w:val="fr-FR"/>
        </w:rPr>
        <w:t>o</w:t>
      </w:r>
      <w:r w:rsidR="0069662E">
        <w:rPr>
          <w:lang w:val="fr-FR"/>
        </w:rPr>
        <w:t>  </w:t>
      </w:r>
      <w:r w:rsidR="00784054" w:rsidRPr="00C2548D">
        <w:rPr>
          <w:i/>
          <w:lang w:val="fr-FR"/>
        </w:rPr>
        <w:t xml:space="preserve"> 2),</w:t>
      </w:r>
      <w:r w:rsidR="00784054" w:rsidRPr="00C2548D">
        <w:rPr>
          <w:lang w:val="fr-FR"/>
        </w:rPr>
        <w:t xml:space="preserve"> n</w:t>
      </w:r>
      <w:r w:rsidR="00784054" w:rsidRPr="00C2548D">
        <w:rPr>
          <w:vertAlign w:val="superscript"/>
          <w:lang w:val="fr-FR"/>
        </w:rPr>
        <w:t>o</w:t>
      </w:r>
      <w:r w:rsidR="005D0E24">
        <w:rPr>
          <w:lang w:val="fr-FR"/>
        </w:rPr>
        <w:t> </w:t>
      </w:r>
      <w:r w:rsidR="003121DA">
        <w:rPr>
          <w:lang w:val="fr-FR"/>
        </w:rPr>
        <w:t>1285/03</w:t>
      </w:r>
      <w:r w:rsidR="00784054" w:rsidRPr="00C2548D">
        <w:rPr>
          <w:lang w:val="fr-FR"/>
        </w:rPr>
        <w:t xml:space="preserve">, §§ 86 et 114, 19 février 2013 ; </w:t>
      </w:r>
      <w:proofErr w:type="spellStart"/>
      <w:r w:rsidR="00784054" w:rsidRPr="00C2548D">
        <w:rPr>
          <w:i/>
          <w:lang w:val="fr-FR"/>
        </w:rPr>
        <w:t>Todorova</w:t>
      </w:r>
      <w:proofErr w:type="spellEnd"/>
      <w:r w:rsidR="00784054" w:rsidRPr="00C2548D">
        <w:rPr>
          <w:i/>
          <w:lang w:val="fr-FR"/>
        </w:rPr>
        <w:t xml:space="preserve"> c. Italie,</w:t>
      </w:r>
      <w:r w:rsidR="00784054" w:rsidRPr="00C2548D">
        <w:rPr>
          <w:lang w:val="fr-FR"/>
        </w:rPr>
        <w:t xml:space="preserve"> n</w:t>
      </w:r>
      <w:r w:rsidR="00784054" w:rsidRPr="00C2548D">
        <w:rPr>
          <w:vertAlign w:val="superscript"/>
          <w:lang w:val="fr-FR"/>
        </w:rPr>
        <w:t>o</w:t>
      </w:r>
      <w:r w:rsidR="0069662E">
        <w:rPr>
          <w:lang w:val="fr-FR"/>
        </w:rPr>
        <w:t>  </w:t>
      </w:r>
      <w:r w:rsidR="003121DA">
        <w:rPr>
          <w:lang w:val="fr-FR"/>
        </w:rPr>
        <w:t>33932/06</w:t>
      </w:r>
      <w:r w:rsidR="00784054" w:rsidRPr="00C2548D">
        <w:rPr>
          <w:lang w:val="fr-FR"/>
        </w:rPr>
        <w:t>, § 75, 13 janvier 2009</w:t>
      </w:r>
      <w:r>
        <w:rPr>
          <w:lang w:val="fr-FR"/>
        </w:rPr>
        <w:t> ;</w:t>
      </w:r>
      <w:r w:rsidRPr="0038481D">
        <w:rPr>
          <w:i/>
          <w:snapToGrid w:val="0"/>
          <w:lang w:val="fr-FR"/>
        </w:rPr>
        <w:t xml:space="preserve"> R.M.S.</w:t>
      </w:r>
      <w:r w:rsidRPr="0038481D">
        <w:rPr>
          <w:snapToGrid w:val="0"/>
          <w:lang w:val="fr-FR"/>
        </w:rPr>
        <w:t xml:space="preserve"> </w:t>
      </w:r>
      <w:r w:rsidRPr="0038481D">
        <w:rPr>
          <w:i/>
          <w:snapToGrid w:val="0"/>
          <w:lang w:val="fr-FR"/>
        </w:rPr>
        <w:t>c. Espagne</w:t>
      </w:r>
      <w:r w:rsidRPr="0038481D">
        <w:rPr>
          <w:snapToGrid w:val="0"/>
          <w:lang w:val="fr-FR"/>
        </w:rPr>
        <w:t>, n</w:t>
      </w:r>
      <w:r w:rsidRPr="0038481D">
        <w:rPr>
          <w:snapToGrid w:val="0"/>
          <w:vertAlign w:val="superscript"/>
          <w:lang w:val="fr-FR"/>
        </w:rPr>
        <w:t>o</w:t>
      </w:r>
      <w:r w:rsidR="005D0E24">
        <w:rPr>
          <w:snapToGrid w:val="0"/>
          <w:lang w:val="fr-FR"/>
        </w:rPr>
        <w:t> </w:t>
      </w:r>
      <w:r w:rsidRPr="0038481D">
        <w:rPr>
          <w:snapToGrid w:val="0"/>
          <w:lang w:val="fr-FR"/>
        </w:rPr>
        <w:t xml:space="preserve">28775/12, § </w:t>
      </w:r>
      <w:r>
        <w:rPr>
          <w:snapToGrid w:val="0"/>
          <w:lang w:val="fr-FR"/>
        </w:rPr>
        <w:t>86,</w:t>
      </w:r>
      <w:r w:rsidRPr="0038481D">
        <w:rPr>
          <w:snapToGrid w:val="0"/>
          <w:lang w:val="fr-FR"/>
        </w:rPr>
        <w:t xml:space="preserve"> 18 juin 2013</w:t>
      </w:r>
      <w:r>
        <w:rPr>
          <w:snapToGrid w:val="0"/>
          <w:lang w:val="fr-FR"/>
        </w:rPr>
        <w:t> ;</w:t>
      </w:r>
      <w:r w:rsidR="00784054" w:rsidRPr="00C2548D">
        <w:rPr>
          <w:lang w:val="fr-FR"/>
        </w:rPr>
        <w:t xml:space="preserve"> </w:t>
      </w:r>
      <w:r w:rsidR="00784054" w:rsidRPr="00C2548D">
        <w:rPr>
          <w:i/>
          <w:lang w:val="fr-FR"/>
        </w:rPr>
        <w:t xml:space="preserve">Zhou, </w:t>
      </w:r>
      <w:r w:rsidR="00784054" w:rsidRPr="00C2548D">
        <w:rPr>
          <w:lang w:val="fr-FR"/>
        </w:rPr>
        <w:t>précité, §§ 58-59</w:t>
      </w:r>
      <w:r>
        <w:rPr>
          <w:lang w:val="fr-FR"/>
        </w:rPr>
        <w:t> ;</w:t>
      </w:r>
      <w:r w:rsidR="0044798E">
        <w:rPr>
          <w:lang w:val="fr-FR"/>
        </w:rPr>
        <w:t xml:space="preserve"> </w:t>
      </w:r>
      <w:proofErr w:type="spellStart"/>
      <w:r w:rsidR="0044798E" w:rsidRPr="003B0C32">
        <w:rPr>
          <w:i/>
          <w:lang w:val="fr-FR"/>
        </w:rPr>
        <w:t>Akinnibosun</w:t>
      </w:r>
      <w:proofErr w:type="spellEnd"/>
      <w:r w:rsidR="0044798E" w:rsidRPr="003B0C32">
        <w:rPr>
          <w:i/>
          <w:lang w:val="fr-FR"/>
        </w:rPr>
        <w:t xml:space="preserve"> c. </w:t>
      </w:r>
      <w:r w:rsidR="0044798E">
        <w:rPr>
          <w:i/>
          <w:lang w:val="fr-FR"/>
        </w:rPr>
        <w:t>Italie</w:t>
      </w:r>
      <w:r w:rsidR="0044798E">
        <w:rPr>
          <w:lang w:val="fr-FR"/>
        </w:rPr>
        <w:t>,</w:t>
      </w:r>
      <w:r w:rsidR="0044798E" w:rsidRPr="0044798E">
        <w:rPr>
          <w:lang w:val="fr-FR"/>
        </w:rPr>
        <w:t xml:space="preserve"> </w:t>
      </w:r>
      <w:r w:rsidR="0044798E" w:rsidRPr="00C2548D">
        <w:rPr>
          <w:lang w:val="fr-FR"/>
        </w:rPr>
        <w:t>précité, §</w:t>
      </w:r>
      <w:r w:rsidR="0044798E">
        <w:rPr>
          <w:lang w:val="fr-FR"/>
        </w:rPr>
        <w:t xml:space="preserve"> 82</w:t>
      </w:r>
      <w:r w:rsidR="00784054" w:rsidRPr="00C2548D">
        <w:rPr>
          <w:lang w:val="fr-FR"/>
        </w:rPr>
        <w:t>).</w:t>
      </w:r>
    </w:p>
    <w:p w:rsidR="00C31CD3" w:rsidRDefault="000A5ED9" w:rsidP="003672D3">
      <w:pPr>
        <w:pStyle w:val="ECHRPara"/>
        <w:rPr>
          <w:lang w:val="fr-FR"/>
        </w:rPr>
      </w:pPr>
      <w:r>
        <w:rPr>
          <w:lang w:val="fr-FR"/>
        </w:rPr>
        <w:fldChar w:fldCharType="begin"/>
      </w:r>
      <w:r>
        <w:rPr>
          <w:lang w:val="fr-FR"/>
        </w:rPr>
        <w:instrText xml:space="preserve"> SEQ level0 \*arabic </w:instrText>
      </w:r>
      <w:r>
        <w:rPr>
          <w:lang w:val="fr-FR"/>
        </w:rPr>
        <w:fldChar w:fldCharType="separate"/>
      </w:r>
      <w:r w:rsidR="0096090F">
        <w:rPr>
          <w:noProof/>
          <w:lang w:val="fr-FR"/>
        </w:rPr>
        <w:t>55</w:t>
      </w:r>
      <w:r>
        <w:rPr>
          <w:lang w:val="fr-FR"/>
        </w:rPr>
        <w:fldChar w:fldCharType="end"/>
      </w:r>
      <w:r>
        <w:rPr>
          <w:lang w:val="fr-FR"/>
        </w:rPr>
        <w:t>.  </w:t>
      </w:r>
      <w:r>
        <w:rPr>
          <w:rFonts w:ascii="Times New Roman" w:eastAsia="Times New Roman" w:hAnsi="Times New Roman"/>
          <w:lang w:val="fr-FR"/>
        </w:rPr>
        <w:t xml:space="preserve">La Cour </w:t>
      </w:r>
      <w:r w:rsidR="00A9667A">
        <w:rPr>
          <w:rFonts w:ascii="Times New Roman" w:eastAsia="Times New Roman" w:hAnsi="Times New Roman"/>
          <w:lang w:val="fr-FR"/>
        </w:rPr>
        <w:t>observe que le jugement de la cour d</w:t>
      </w:r>
      <w:r w:rsidR="00E91700">
        <w:rPr>
          <w:rFonts w:ascii="Times New Roman" w:eastAsia="Times New Roman" w:hAnsi="Times New Roman"/>
          <w:lang w:val="fr-FR"/>
        </w:rPr>
        <w:t>’</w:t>
      </w:r>
      <w:r w:rsidR="00A9667A">
        <w:rPr>
          <w:rFonts w:ascii="Times New Roman" w:eastAsia="Times New Roman" w:hAnsi="Times New Roman"/>
          <w:lang w:val="fr-FR"/>
        </w:rPr>
        <w:t xml:space="preserve">appel de Rome </w:t>
      </w:r>
      <w:r w:rsidR="00A9667A" w:rsidRPr="00B316E6">
        <w:rPr>
          <w:lang w:val="fr-FR"/>
        </w:rPr>
        <w:t>avait reconnu une évolution positive</w:t>
      </w:r>
      <w:r w:rsidR="00A9667A">
        <w:rPr>
          <w:lang w:val="fr-FR"/>
        </w:rPr>
        <w:t xml:space="preserve"> de l</w:t>
      </w:r>
      <w:r w:rsidR="00E91700">
        <w:rPr>
          <w:lang w:val="fr-FR"/>
        </w:rPr>
        <w:t>’</w:t>
      </w:r>
      <w:r w:rsidR="00A9667A">
        <w:rPr>
          <w:lang w:val="fr-FR"/>
        </w:rPr>
        <w:t>état de santé de la requérante et de la situation familiale globalement considérée. En particulier</w:t>
      </w:r>
      <w:r w:rsidR="00EF0CF3">
        <w:rPr>
          <w:lang w:val="fr-FR"/>
        </w:rPr>
        <w:t>,</w:t>
      </w:r>
      <w:r w:rsidR="00A9667A">
        <w:rPr>
          <w:lang w:val="fr-FR"/>
        </w:rPr>
        <w:t xml:space="preserve"> la cour d</w:t>
      </w:r>
      <w:r w:rsidR="00E91700">
        <w:rPr>
          <w:lang w:val="fr-FR"/>
        </w:rPr>
        <w:t>’</w:t>
      </w:r>
      <w:r w:rsidR="00A9667A">
        <w:rPr>
          <w:lang w:val="fr-FR"/>
        </w:rPr>
        <w:t xml:space="preserve">appel </w:t>
      </w:r>
      <w:r w:rsidR="009B181F">
        <w:rPr>
          <w:lang w:val="fr-FR"/>
        </w:rPr>
        <w:t xml:space="preserve">avait pris </w:t>
      </w:r>
      <w:r w:rsidR="00A9667A">
        <w:rPr>
          <w:lang w:val="fr-FR"/>
        </w:rPr>
        <w:t xml:space="preserve">bonne note </w:t>
      </w:r>
      <w:r w:rsidR="00EF0CF3">
        <w:rPr>
          <w:lang w:val="fr-FR"/>
        </w:rPr>
        <w:t>du fait que la requérante suivait un parcours thérapeutique,</w:t>
      </w:r>
      <w:r w:rsidR="009B181F">
        <w:rPr>
          <w:lang w:val="fr-FR"/>
        </w:rPr>
        <w:t xml:space="preserve"> que</w:t>
      </w:r>
      <w:r w:rsidR="00EF0CF3">
        <w:rPr>
          <w:lang w:val="fr-FR"/>
        </w:rPr>
        <w:t xml:space="preserve"> le père des</w:t>
      </w:r>
      <w:r w:rsidR="00A9667A">
        <w:rPr>
          <w:lang w:val="fr-FR"/>
        </w:rPr>
        <w:t xml:space="preserve"> enfants </w:t>
      </w:r>
      <w:r w:rsidR="00EF0CF3">
        <w:rPr>
          <w:lang w:val="fr-FR"/>
        </w:rPr>
        <w:t>s</w:t>
      </w:r>
      <w:r w:rsidR="00E91700">
        <w:rPr>
          <w:lang w:val="fr-FR"/>
        </w:rPr>
        <w:t>’</w:t>
      </w:r>
      <w:r w:rsidR="00EF0CF3">
        <w:rPr>
          <w:lang w:val="fr-FR"/>
        </w:rPr>
        <w:t xml:space="preserve">était mobilisé </w:t>
      </w:r>
      <w:r w:rsidR="00A9667A">
        <w:rPr>
          <w:lang w:val="fr-FR"/>
        </w:rPr>
        <w:t xml:space="preserve">pour </w:t>
      </w:r>
      <w:r w:rsidR="00365B25">
        <w:rPr>
          <w:lang w:val="fr-FR"/>
        </w:rPr>
        <w:t xml:space="preserve">trouver </w:t>
      </w:r>
      <w:r w:rsidR="009B181F">
        <w:rPr>
          <w:lang w:val="fr-FR"/>
        </w:rPr>
        <w:t xml:space="preserve">des </w:t>
      </w:r>
      <w:r w:rsidR="00365B25">
        <w:rPr>
          <w:lang w:val="fr-FR"/>
        </w:rPr>
        <w:t xml:space="preserve">ressources pour </w:t>
      </w:r>
      <w:r w:rsidR="00A9667A">
        <w:rPr>
          <w:lang w:val="fr-FR"/>
        </w:rPr>
        <w:t>s</w:t>
      </w:r>
      <w:r w:rsidR="00E91700">
        <w:rPr>
          <w:lang w:val="fr-FR"/>
        </w:rPr>
        <w:t>’</w:t>
      </w:r>
      <w:r w:rsidR="00EF0CF3">
        <w:rPr>
          <w:lang w:val="fr-FR"/>
        </w:rPr>
        <w:t>occuper d</w:t>
      </w:r>
      <w:r w:rsidR="00E91700">
        <w:rPr>
          <w:lang w:val="fr-FR"/>
        </w:rPr>
        <w:t>’</w:t>
      </w:r>
      <w:r w:rsidR="00EF0CF3">
        <w:rPr>
          <w:lang w:val="fr-FR"/>
        </w:rPr>
        <w:t xml:space="preserve">eux et </w:t>
      </w:r>
      <w:r w:rsidR="009B181F">
        <w:rPr>
          <w:lang w:val="fr-FR"/>
        </w:rPr>
        <w:t xml:space="preserve">que </w:t>
      </w:r>
      <w:r w:rsidR="00EF0CF3">
        <w:rPr>
          <w:lang w:val="fr-FR"/>
        </w:rPr>
        <w:t xml:space="preserve">le grand-père paternel était </w:t>
      </w:r>
      <w:r w:rsidR="00601DF7">
        <w:rPr>
          <w:lang w:val="fr-FR"/>
        </w:rPr>
        <w:t>disposé</w:t>
      </w:r>
      <w:r w:rsidR="00EF0CF3">
        <w:rPr>
          <w:lang w:val="fr-FR"/>
        </w:rPr>
        <w:t xml:space="preserve"> à l</w:t>
      </w:r>
      <w:r w:rsidR="00E91700">
        <w:rPr>
          <w:lang w:val="fr-FR"/>
        </w:rPr>
        <w:t>’</w:t>
      </w:r>
      <w:r w:rsidR="00EF0CF3">
        <w:rPr>
          <w:lang w:val="fr-FR"/>
        </w:rPr>
        <w:t xml:space="preserve">aider </w:t>
      </w:r>
      <w:r w:rsidR="00A9667A">
        <w:rPr>
          <w:lang w:val="fr-FR"/>
        </w:rPr>
        <w:t>(</w:t>
      </w:r>
      <w:r w:rsidR="00612F02">
        <w:rPr>
          <w:lang w:val="fr-FR"/>
        </w:rPr>
        <w:t xml:space="preserve">paragraphe </w:t>
      </w:r>
      <w:r w:rsidR="00A9667A">
        <w:rPr>
          <w:lang w:val="fr-FR"/>
        </w:rPr>
        <w:t>19</w:t>
      </w:r>
      <w:r w:rsidR="0058223A">
        <w:rPr>
          <w:lang w:val="fr-FR"/>
        </w:rPr>
        <w:t xml:space="preserve"> ci-dessus</w:t>
      </w:r>
      <w:r w:rsidR="00A9667A">
        <w:rPr>
          <w:lang w:val="fr-FR"/>
        </w:rPr>
        <w:t>)</w:t>
      </w:r>
      <w:r w:rsidR="00EF0CF3">
        <w:rPr>
          <w:lang w:val="fr-FR"/>
        </w:rPr>
        <w:t>.</w:t>
      </w:r>
      <w:r w:rsidR="0058223A">
        <w:rPr>
          <w:lang w:val="fr-FR"/>
        </w:rPr>
        <w:t xml:space="preserve"> Ces améliorations </w:t>
      </w:r>
      <w:r w:rsidR="009B181F">
        <w:rPr>
          <w:lang w:val="fr-FR"/>
        </w:rPr>
        <w:t>n</w:t>
      </w:r>
      <w:r w:rsidR="00E91700">
        <w:rPr>
          <w:lang w:val="fr-FR"/>
        </w:rPr>
        <w:t>’</w:t>
      </w:r>
      <w:r w:rsidR="009B181F">
        <w:rPr>
          <w:lang w:val="fr-FR"/>
        </w:rPr>
        <w:t>ont</w:t>
      </w:r>
      <w:r w:rsidR="0058223A">
        <w:rPr>
          <w:lang w:val="fr-FR"/>
        </w:rPr>
        <w:t xml:space="preserve"> toutefois </w:t>
      </w:r>
      <w:r w:rsidR="001A0C01">
        <w:rPr>
          <w:lang w:val="fr-FR"/>
        </w:rPr>
        <w:t xml:space="preserve">pas </w:t>
      </w:r>
      <w:r w:rsidR="009B181F">
        <w:rPr>
          <w:lang w:val="fr-FR"/>
        </w:rPr>
        <w:t xml:space="preserve">été </w:t>
      </w:r>
      <w:r w:rsidR="0058223A">
        <w:rPr>
          <w:lang w:val="fr-FR"/>
        </w:rPr>
        <w:t>considérées</w:t>
      </w:r>
      <w:r w:rsidR="00CD4DB6">
        <w:rPr>
          <w:lang w:val="fr-FR"/>
        </w:rPr>
        <w:t xml:space="preserve"> comme</w:t>
      </w:r>
      <w:r w:rsidR="0058223A">
        <w:rPr>
          <w:lang w:val="fr-FR"/>
        </w:rPr>
        <w:t xml:space="preserve"> suffisantes aux fins de l</w:t>
      </w:r>
      <w:r w:rsidR="00E91700">
        <w:rPr>
          <w:lang w:val="fr-FR"/>
        </w:rPr>
        <w:t>’</w:t>
      </w:r>
      <w:r w:rsidR="0058223A">
        <w:rPr>
          <w:lang w:val="fr-FR"/>
        </w:rPr>
        <w:t xml:space="preserve">évaluation de la capacité des parents </w:t>
      </w:r>
      <w:r w:rsidR="009B181F">
        <w:rPr>
          <w:lang w:val="fr-FR"/>
        </w:rPr>
        <w:t xml:space="preserve">à </w:t>
      </w:r>
      <w:r w:rsidR="0058223A">
        <w:rPr>
          <w:lang w:val="fr-FR"/>
        </w:rPr>
        <w:t>exercer leur rôle</w:t>
      </w:r>
      <w:r w:rsidR="00F918F0">
        <w:rPr>
          <w:lang w:val="fr-FR"/>
        </w:rPr>
        <w:t>,</w:t>
      </w:r>
      <w:r w:rsidR="00702C82">
        <w:rPr>
          <w:lang w:val="fr-FR"/>
        </w:rPr>
        <w:t xml:space="preserve"> et la cour d</w:t>
      </w:r>
      <w:r w:rsidR="00E91700">
        <w:rPr>
          <w:lang w:val="fr-FR"/>
        </w:rPr>
        <w:t>’</w:t>
      </w:r>
      <w:r w:rsidR="00702C82">
        <w:rPr>
          <w:lang w:val="fr-FR"/>
        </w:rPr>
        <w:t>appel confirm</w:t>
      </w:r>
      <w:r w:rsidR="00C82303">
        <w:rPr>
          <w:lang w:val="fr-FR"/>
        </w:rPr>
        <w:t>a</w:t>
      </w:r>
      <w:r w:rsidR="0058223A">
        <w:rPr>
          <w:lang w:val="fr-FR"/>
        </w:rPr>
        <w:t xml:space="preserve"> la déclaration d</w:t>
      </w:r>
      <w:r w:rsidR="00E91700">
        <w:rPr>
          <w:lang w:val="fr-FR"/>
        </w:rPr>
        <w:t>’</w:t>
      </w:r>
      <w:r w:rsidR="0058223A">
        <w:rPr>
          <w:lang w:val="fr-FR"/>
        </w:rPr>
        <w:t>adoptabilité</w:t>
      </w:r>
      <w:r w:rsidR="00702C82">
        <w:rPr>
          <w:lang w:val="fr-FR"/>
        </w:rPr>
        <w:t>,</w:t>
      </w:r>
      <w:r w:rsidR="0058223A">
        <w:rPr>
          <w:lang w:val="fr-FR"/>
        </w:rPr>
        <w:t xml:space="preserve"> </w:t>
      </w:r>
      <w:r w:rsidR="00F918F0">
        <w:rPr>
          <w:lang w:val="fr-FR"/>
        </w:rPr>
        <w:t xml:space="preserve">en </w:t>
      </w:r>
      <w:r w:rsidR="00702C82">
        <w:rPr>
          <w:lang w:val="fr-FR"/>
        </w:rPr>
        <w:t>se fondant notamment</w:t>
      </w:r>
      <w:r w:rsidR="003672D3">
        <w:rPr>
          <w:lang w:val="fr-FR"/>
        </w:rPr>
        <w:t xml:space="preserve"> sur </w:t>
      </w:r>
      <w:r w:rsidR="0058223A">
        <w:rPr>
          <w:lang w:val="fr-FR"/>
        </w:rPr>
        <w:t>l</w:t>
      </w:r>
      <w:r w:rsidR="00E91700">
        <w:rPr>
          <w:lang w:val="fr-FR"/>
        </w:rPr>
        <w:t>’</w:t>
      </w:r>
      <w:r w:rsidR="0058223A">
        <w:rPr>
          <w:lang w:val="fr-FR"/>
        </w:rPr>
        <w:t>exigence de sauvegarder l</w:t>
      </w:r>
      <w:r w:rsidR="00E91700">
        <w:rPr>
          <w:lang w:val="fr-FR"/>
        </w:rPr>
        <w:t>’</w:t>
      </w:r>
      <w:r w:rsidR="0058223A">
        <w:rPr>
          <w:lang w:val="fr-FR"/>
        </w:rPr>
        <w:t>intérêt des enfants à être accueillis dans une famille capable de prendre soin d</w:t>
      </w:r>
      <w:r w:rsidR="00E91700">
        <w:rPr>
          <w:lang w:val="fr-FR"/>
        </w:rPr>
        <w:t>’</w:t>
      </w:r>
      <w:r w:rsidR="0058223A">
        <w:rPr>
          <w:lang w:val="fr-FR"/>
        </w:rPr>
        <w:t>eux de manière adéquate.</w:t>
      </w:r>
    </w:p>
    <w:p w:rsidR="008964C1" w:rsidRDefault="003672D3" w:rsidP="00702C82">
      <w:pPr>
        <w:pStyle w:val="ECHRPara"/>
        <w:ind w:firstLine="357"/>
        <w:rPr>
          <w:lang w:val="fr-FR"/>
        </w:rPr>
      </w:pPr>
      <w:r>
        <w:rPr>
          <w:lang w:val="fr-FR"/>
        </w:rPr>
        <w:fldChar w:fldCharType="begin"/>
      </w:r>
      <w:r>
        <w:rPr>
          <w:lang w:val="fr-FR"/>
        </w:rPr>
        <w:instrText xml:space="preserve"> SEQ level0 \*arabic </w:instrText>
      </w:r>
      <w:r>
        <w:rPr>
          <w:lang w:val="fr-FR"/>
        </w:rPr>
        <w:fldChar w:fldCharType="separate"/>
      </w:r>
      <w:r w:rsidR="0096090F">
        <w:rPr>
          <w:noProof/>
          <w:lang w:val="fr-FR"/>
        </w:rPr>
        <w:t>56</w:t>
      </w:r>
      <w:r>
        <w:rPr>
          <w:lang w:val="fr-FR"/>
        </w:rPr>
        <w:fldChar w:fldCharType="end"/>
      </w:r>
      <w:r>
        <w:rPr>
          <w:lang w:val="fr-FR"/>
        </w:rPr>
        <w:t>.  </w:t>
      </w:r>
      <w:r w:rsidRPr="00420BB5">
        <w:rPr>
          <w:lang w:val="fr-FR"/>
        </w:rPr>
        <w:t>L</w:t>
      </w:r>
      <w:r w:rsidR="00BC51B7">
        <w:rPr>
          <w:lang w:val="fr-FR"/>
        </w:rPr>
        <w:t>a Cour rappelle que l</w:t>
      </w:r>
      <w:r w:rsidRPr="00420BB5">
        <w:rPr>
          <w:lang w:val="fr-FR"/>
        </w:rPr>
        <w:t>e fait qu</w:t>
      </w:r>
      <w:r w:rsidR="00E91700">
        <w:rPr>
          <w:lang w:val="fr-FR"/>
        </w:rPr>
        <w:t>’</w:t>
      </w:r>
      <w:r w:rsidRPr="00420BB5">
        <w:rPr>
          <w:lang w:val="fr-FR"/>
        </w:rPr>
        <w:t>un enfant puisse être accueilli dans un cadre plus propice à son éducation ne saurait en soi justifier qu</w:t>
      </w:r>
      <w:r w:rsidR="00E91700">
        <w:rPr>
          <w:lang w:val="fr-FR"/>
        </w:rPr>
        <w:t>’</w:t>
      </w:r>
      <w:r w:rsidRPr="00420BB5">
        <w:rPr>
          <w:lang w:val="fr-FR"/>
        </w:rPr>
        <w:t>on le soustraie aux soins de ses parents biologiques</w:t>
      </w:r>
      <w:r w:rsidR="009B181F">
        <w:rPr>
          <w:lang w:val="fr-FR"/>
        </w:rPr>
        <w:t> : pour se justifier</w:t>
      </w:r>
      <w:r w:rsidRPr="00420BB5">
        <w:rPr>
          <w:lang w:val="fr-FR"/>
        </w:rPr>
        <w:t> </w:t>
      </w:r>
      <w:r w:rsidR="009B181F" w:rsidRPr="009B181F">
        <w:rPr>
          <w:lang w:val="fr-FR"/>
        </w:rPr>
        <w:t xml:space="preserve">au </w:t>
      </w:r>
      <w:r w:rsidR="009B181F">
        <w:rPr>
          <w:lang w:val="fr-FR"/>
        </w:rPr>
        <w:t>regard</w:t>
      </w:r>
      <w:r w:rsidR="009B181F" w:rsidRPr="009B181F">
        <w:rPr>
          <w:lang w:val="fr-FR"/>
        </w:rPr>
        <w:t xml:space="preserve"> de l</w:t>
      </w:r>
      <w:r w:rsidR="00E91700">
        <w:rPr>
          <w:lang w:val="fr-FR"/>
        </w:rPr>
        <w:t>’</w:t>
      </w:r>
      <w:r w:rsidR="009B181F" w:rsidRPr="009B181F">
        <w:rPr>
          <w:lang w:val="fr-FR"/>
        </w:rPr>
        <w:t>article</w:t>
      </w:r>
      <w:r w:rsidR="005D0E24">
        <w:rPr>
          <w:lang w:val="fr-FR"/>
        </w:rPr>
        <w:t> </w:t>
      </w:r>
      <w:r w:rsidR="009B181F" w:rsidRPr="009B181F">
        <w:rPr>
          <w:lang w:val="fr-FR"/>
        </w:rPr>
        <w:t xml:space="preserve">8 de la Convention, </w:t>
      </w:r>
      <w:r w:rsidR="00745F2B" w:rsidRPr="00C2548D">
        <w:rPr>
          <w:lang w:val="fr-FR"/>
        </w:rPr>
        <w:t>pareille ingérence dans le droit des parents à jouir d</w:t>
      </w:r>
      <w:r w:rsidR="00E91700">
        <w:rPr>
          <w:lang w:val="fr-FR"/>
        </w:rPr>
        <w:t>’</w:t>
      </w:r>
      <w:r w:rsidR="00745F2B" w:rsidRPr="00C2548D">
        <w:rPr>
          <w:lang w:val="fr-FR"/>
        </w:rPr>
        <w:t>une vie familiale avec leur enfant doit encore se révéler « nécessaire » en raison d</w:t>
      </w:r>
      <w:r w:rsidR="00E91700">
        <w:rPr>
          <w:lang w:val="fr-FR"/>
        </w:rPr>
        <w:t>’</w:t>
      </w:r>
      <w:r w:rsidR="00745F2B" w:rsidRPr="00C2548D">
        <w:rPr>
          <w:lang w:val="fr-FR"/>
        </w:rPr>
        <w:t xml:space="preserve">autres circonstances </w:t>
      </w:r>
      <w:r w:rsidRPr="00420BB5">
        <w:rPr>
          <w:lang w:val="fr-FR"/>
        </w:rPr>
        <w:t>(</w:t>
      </w:r>
      <w:r w:rsidRPr="00420BB5">
        <w:rPr>
          <w:i/>
          <w:lang w:val="fr-FR"/>
        </w:rPr>
        <w:t>K. et T. c. Finlande</w:t>
      </w:r>
      <w:r w:rsidRPr="00420BB5">
        <w:rPr>
          <w:lang w:val="fr-FR"/>
        </w:rPr>
        <w:t xml:space="preserve"> [GC], précité, § 173</w:t>
      </w:r>
      <w:r>
        <w:rPr>
          <w:lang w:val="fr-FR"/>
        </w:rPr>
        <w:t xml:space="preserve"> ; </w:t>
      </w:r>
      <w:r w:rsidRPr="003672D3">
        <w:rPr>
          <w:i/>
          <w:lang w:val="fr-FR"/>
        </w:rPr>
        <w:t>Pontes c. Portugal</w:t>
      </w:r>
      <w:r>
        <w:rPr>
          <w:lang w:val="fr-FR"/>
        </w:rPr>
        <w:t>, précité,</w:t>
      </w:r>
      <w:r w:rsidR="00612F02" w:rsidRPr="00612F02">
        <w:rPr>
          <w:lang w:val="fr-FR"/>
        </w:rPr>
        <w:t xml:space="preserve"> </w:t>
      </w:r>
      <w:r w:rsidR="00612F02">
        <w:rPr>
          <w:lang w:val="fr-FR"/>
        </w:rPr>
        <w:t>§ 95 ;</w:t>
      </w:r>
      <w:r>
        <w:rPr>
          <w:lang w:val="fr-FR"/>
        </w:rPr>
        <w:t xml:space="preserve"> </w:t>
      </w:r>
      <w:proofErr w:type="spellStart"/>
      <w:r w:rsidR="00745F2B" w:rsidRPr="003B0C32">
        <w:rPr>
          <w:i/>
          <w:lang w:val="fr-FR"/>
        </w:rPr>
        <w:t>Akinnibosun</w:t>
      </w:r>
      <w:proofErr w:type="spellEnd"/>
      <w:r w:rsidR="00745F2B" w:rsidRPr="003B0C32">
        <w:rPr>
          <w:i/>
          <w:lang w:val="fr-FR"/>
        </w:rPr>
        <w:t xml:space="preserve"> c. </w:t>
      </w:r>
      <w:r w:rsidR="00745F2B">
        <w:rPr>
          <w:i/>
          <w:lang w:val="fr-FR"/>
        </w:rPr>
        <w:t>Italie</w:t>
      </w:r>
      <w:r w:rsidR="00745F2B">
        <w:rPr>
          <w:lang w:val="fr-FR"/>
        </w:rPr>
        <w:t xml:space="preserve">, </w:t>
      </w:r>
      <w:r w:rsidR="00612F02">
        <w:rPr>
          <w:lang w:val="fr-FR"/>
        </w:rPr>
        <w:t xml:space="preserve">précité, </w:t>
      </w:r>
      <w:r w:rsidR="00745F2B">
        <w:rPr>
          <w:lang w:val="fr-FR"/>
        </w:rPr>
        <w:t>§</w:t>
      </w:r>
      <w:r w:rsidR="005D0E24">
        <w:rPr>
          <w:lang w:val="fr-FR"/>
        </w:rPr>
        <w:t> </w:t>
      </w:r>
      <w:r w:rsidR="00745F2B">
        <w:rPr>
          <w:lang w:val="fr-FR"/>
        </w:rPr>
        <w:t>75</w:t>
      </w:r>
      <w:r w:rsidRPr="00420BB5">
        <w:rPr>
          <w:lang w:val="fr-FR"/>
        </w:rPr>
        <w:t>).</w:t>
      </w:r>
    </w:p>
    <w:p w:rsidR="00702C82" w:rsidRDefault="008964C1" w:rsidP="00702C82">
      <w:pPr>
        <w:pStyle w:val="ECHRPara"/>
        <w:ind w:firstLine="357"/>
        <w:rPr>
          <w:lang w:val="fr-FR"/>
        </w:rPr>
      </w:pPr>
      <w:r>
        <w:rPr>
          <w:lang w:val="fr-FR"/>
        </w:rPr>
        <w:t xml:space="preserve">La Cour </w:t>
      </w:r>
      <w:r w:rsidR="00BC51B7">
        <w:rPr>
          <w:lang w:val="fr-FR"/>
        </w:rPr>
        <w:t>note qu</w:t>
      </w:r>
      <w:r w:rsidR="00E91700">
        <w:rPr>
          <w:lang w:val="fr-FR"/>
        </w:rPr>
        <w:t>’</w:t>
      </w:r>
      <w:r w:rsidR="00BC51B7">
        <w:rPr>
          <w:lang w:val="fr-FR"/>
        </w:rPr>
        <w:t>en l</w:t>
      </w:r>
      <w:r w:rsidR="00E91700">
        <w:rPr>
          <w:lang w:val="fr-FR"/>
        </w:rPr>
        <w:t>’</w:t>
      </w:r>
      <w:r w:rsidR="00BC51B7">
        <w:rPr>
          <w:lang w:val="fr-FR"/>
        </w:rPr>
        <w:t xml:space="preserve">espèce, alors </w:t>
      </w:r>
      <w:r w:rsidR="00702C82">
        <w:rPr>
          <w:lang w:val="fr-FR"/>
        </w:rPr>
        <w:t xml:space="preserve">que </w:t>
      </w:r>
      <w:r w:rsidR="00BC51B7" w:rsidRPr="008B0340">
        <w:rPr>
          <w:lang w:val="fr-FR"/>
        </w:rPr>
        <w:t>des</w:t>
      </w:r>
      <w:r w:rsidR="00702C82" w:rsidRPr="008B0340">
        <w:rPr>
          <w:lang w:val="fr-FR"/>
        </w:rPr>
        <w:t xml:space="preserve"> solutions </w:t>
      </w:r>
      <w:r w:rsidR="00BC51B7" w:rsidRPr="008B0340">
        <w:rPr>
          <w:lang w:val="fr-FR"/>
        </w:rPr>
        <w:t>moins radicales</w:t>
      </w:r>
      <w:r w:rsidR="00702C82" w:rsidRPr="008B0340">
        <w:rPr>
          <w:lang w:val="fr-FR"/>
        </w:rPr>
        <w:t xml:space="preserve"> étaient disponibles</w:t>
      </w:r>
      <w:r w:rsidRPr="008B0340">
        <w:rPr>
          <w:lang w:val="fr-FR"/>
        </w:rPr>
        <w:t xml:space="preserve">, </w:t>
      </w:r>
      <w:r w:rsidR="00702C82" w:rsidRPr="008B0340">
        <w:rPr>
          <w:lang w:val="fr-FR"/>
        </w:rPr>
        <w:t>les juridictions internes ont</w:t>
      </w:r>
      <w:r w:rsidRPr="008B0340">
        <w:rPr>
          <w:lang w:val="fr-FR"/>
        </w:rPr>
        <w:t xml:space="preserve"> néanmoins déclaré</w:t>
      </w:r>
      <w:r w:rsidR="00702C82" w:rsidRPr="008B0340">
        <w:rPr>
          <w:lang w:val="fr-FR"/>
        </w:rPr>
        <w:t xml:space="preserve"> les enfants adoptables</w:t>
      </w:r>
      <w:r w:rsidR="00F76BB4">
        <w:rPr>
          <w:lang w:val="fr-FR"/>
        </w:rPr>
        <w:t xml:space="preserve"> en dépit des préconisations de</w:t>
      </w:r>
      <w:r w:rsidRPr="008B0340">
        <w:rPr>
          <w:lang w:val="fr-FR"/>
        </w:rPr>
        <w:t xml:space="preserve"> </w:t>
      </w:r>
      <w:r w:rsidR="00F76BB4">
        <w:rPr>
          <w:lang w:val="fr-FR"/>
        </w:rPr>
        <w:t>l</w:t>
      </w:r>
      <w:r w:rsidR="00E91700">
        <w:rPr>
          <w:lang w:val="fr-FR"/>
        </w:rPr>
        <w:t>’</w:t>
      </w:r>
      <w:r w:rsidRPr="008B0340">
        <w:rPr>
          <w:lang w:val="fr-FR"/>
        </w:rPr>
        <w:t>expert</w:t>
      </w:r>
      <w:r w:rsidR="00F76BB4">
        <w:rPr>
          <w:lang w:val="fr-FR"/>
        </w:rPr>
        <w:t>i</w:t>
      </w:r>
      <w:r w:rsidRPr="008B0340">
        <w:rPr>
          <w:lang w:val="fr-FR"/>
        </w:rPr>
        <w:t>s</w:t>
      </w:r>
      <w:r w:rsidR="00F76BB4">
        <w:rPr>
          <w:lang w:val="fr-FR"/>
        </w:rPr>
        <w:t>e</w:t>
      </w:r>
      <w:r w:rsidRPr="008B0340">
        <w:rPr>
          <w:lang w:val="fr-FR"/>
        </w:rPr>
        <w:t xml:space="preserve">, </w:t>
      </w:r>
      <w:r w:rsidR="00702C82" w:rsidRPr="008B0340">
        <w:rPr>
          <w:lang w:val="fr-FR"/>
        </w:rPr>
        <w:t>provoquant ainsi l</w:t>
      </w:r>
      <w:r w:rsidR="00E91700">
        <w:rPr>
          <w:lang w:val="fr-FR"/>
        </w:rPr>
        <w:t>’</w:t>
      </w:r>
      <w:r w:rsidR="00702C82" w:rsidRPr="008B0340">
        <w:rPr>
          <w:lang w:val="fr-FR"/>
        </w:rPr>
        <w:t>éloignement définitif et irréversible de leur mère.</w:t>
      </w:r>
      <w:r w:rsidR="00702C82">
        <w:rPr>
          <w:lang w:val="fr-FR"/>
        </w:rPr>
        <w:t xml:space="preserve"> De plus, les trois enfants </w:t>
      </w:r>
      <w:r>
        <w:rPr>
          <w:lang w:val="fr-FR"/>
        </w:rPr>
        <w:t xml:space="preserve">ont été </w:t>
      </w:r>
      <w:r w:rsidR="00702C82">
        <w:rPr>
          <w:lang w:val="fr-FR"/>
        </w:rPr>
        <w:t>placés dans trois familles d</w:t>
      </w:r>
      <w:r w:rsidR="00E91700">
        <w:rPr>
          <w:lang w:val="fr-FR"/>
        </w:rPr>
        <w:t>’</w:t>
      </w:r>
      <w:r w:rsidR="00702C82">
        <w:rPr>
          <w:lang w:val="fr-FR"/>
        </w:rPr>
        <w:t xml:space="preserve">accueil différentes, </w:t>
      </w:r>
      <w:r w:rsidR="002D37D2">
        <w:rPr>
          <w:lang w:val="fr-FR"/>
        </w:rPr>
        <w:t>de sorte qu</w:t>
      </w:r>
      <w:r w:rsidR="00E91700">
        <w:rPr>
          <w:lang w:val="fr-FR"/>
        </w:rPr>
        <w:t>’</w:t>
      </w:r>
      <w:r w:rsidR="002D37D2">
        <w:rPr>
          <w:lang w:val="fr-FR"/>
        </w:rPr>
        <w:t>il y a eu</w:t>
      </w:r>
      <w:r w:rsidR="00702C82">
        <w:rPr>
          <w:lang w:val="fr-FR"/>
        </w:rPr>
        <w:t xml:space="preserve"> éclatement non seulement de la famille mais encore de la fratrie</w:t>
      </w:r>
      <w:r w:rsidR="00CD498C">
        <w:rPr>
          <w:lang w:val="fr-FR"/>
        </w:rPr>
        <w:t xml:space="preserve"> (</w:t>
      </w:r>
      <w:r w:rsidR="00A92715">
        <w:rPr>
          <w:i/>
          <w:lang w:val="fr-FR"/>
        </w:rPr>
        <w:t>Pontes c. </w:t>
      </w:r>
      <w:r w:rsidR="00CD498C" w:rsidRPr="003672D3">
        <w:rPr>
          <w:i/>
          <w:lang w:val="fr-FR"/>
        </w:rPr>
        <w:t>Portugal</w:t>
      </w:r>
      <w:r w:rsidR="00CD498C">
        <w:rPr>
          <w:lang w:val="fr-FR"/>
        </w:rPr>
        <w:t>, § 98,</w:t>
      </w:r>
      <w:r w:rsidR="00CD498C" w:rsidRPr="00745F2B">
        <w:rPr>
          <w:i/>
          <w:lang w:val="fr-FR"/>
        </w:rPr>
        <w:t xml:space="preserve"> </w:t>
      </w:r>
      <w:r w:rsidR="00CD498C">
        <w:rPr>
          <w:lang w:val="fr-FR"/>
        </w:rPr>
        <w:t>précité)</w:t>
      </w:r>
      <w:r w:rsidR="00702C82">
        <w:rPr>
          <w:lang w:val="fr-FR"/>
        </w:rPr>
        <w:t>.</w:t>
      </w:r>
    </w:p>
    <w:p w:rsidR="00EF49B4" w:rsidRDefault="00EF49B4" w:rsidP="00702C82">
      <w:pPr>
        <w:pStyle w:val="ECHRPara"/>
        <w:rPr>
          <w:lang w:val="fr-FR"/>
        </w:rPr>
      </w:pPr>
      <w:r>
        <w:rPr>
          <w:rFonts w:ascii="Times New Roman" w:eastAsia="Times New Roman" w:hAnsi="Times New Roman"/>
          <w:lang w:val="fr-FR"/>
        </w:rPr>
        <w:fldChar w:fldCharType="begin"/>
      </w:r>
      <w:r>
        <w:rPr>
          <w:rFonts w:ascii="Times New Roman" w:eastAsia="Times New Roman" w:hAnsi="Times New Roman"/>
          <w:lang w:val="fr-FR"/>
        </w:rPr>
        <w:instrText xml:space="preserve"> SEQ level0 \*arabic </w:instrText>
      </w:r>
      <w:r>
        <w:rPr>
          <w:rFonts w:ascii="Times New Roman" w:eastAsia="Times New Roman" w:hAnsi="Times New Roman"/>
          <w:lang w:val="fr-FR"/>
        </w:rPr>
        <w:fldChar w:fldCharType="separate"/>
      </w:r>
      <w:r w:rsidR="0096090F">
        <w:rPr>
          <w:rFonts w:ascii="Times New Roman" w:eastAsia="Times New Roman" w:hAnsi="Times New Roman"/>
          <w:noProof/>
          <w:lang w:val="fr-FR"/>
        </w:rPr>
        <w:t>57</w:t>
      </w:r>
      <w:r>
        <w:rPr>
          <w:rFonts w:ascii="Times New Roman" w:eastAsia="Times New Roman" w:hAnsi="Times New Roman"/>
          <w:lang w:val="fr-FR"/>
        </w:rPr>
        <w:fldChar w:fldCharType="end"/>
      </w:r>
      <w:r>
        <w:rPr>
          <w:rFonts w:ascii="Times New Roman" w:eastAsia="Times New Roman" w:hAnsi="Times New Roman"/>
          <w:lang w:val="fr-FR"/>
        </w:rPr>
        <w:t xml:space="preserve">.  La Cour </w:t>
      </w:r>
      <w:r w:rsidR="00600F74">
        <w:rPr>
          <w:rFonts w:ascii="Times New Roman" w:eastAsia="Times New Roman" w:hAnsi="Times New Roman"/>
          <w:lang w:val="fr-FR"/>
        </w:rPr>
        <w:t>est d</w:t>
      </w:r>
      <w:r w:rsidR="00E91700">
        <w:rPr>
          <w:rFonts w:ascii="Times New Roman" w:eastAsia="Times New Roman" w:hAnsi="Times New Roman"/>
          <w:lang w:val="fr-FR"/>
        </w:rPr>
        <w:t>’</w:t>
      </w:r>
      <w:r w:rsidR="00600F74">
        <w:rPr>
          <w:rFonts w:ascii="Times New Roman" w:eastAsia="Times New Roman" w:hAnsi="Times New Roman"/>
          <w:lang w:val="fr-FR"/>
        </w:rPr>
        <w:t>avis qu</w:t>
      </w:r>
      <w:r>
        <w:rPr>
          <w:rFonts w:ascii="Times New Roman" w:eastAsia="Times New Roman" w:hAnsi="Times New Roman"/>
          <w:lang w:val="fr-FR"/>
        </w:rPr>
        <w:t>e</w:t>
      </w:r>
      <w:r w:rsidR="002C614B">
        <w:rPr>
          <w:rFonts w:ascii="Times New Roman" w:eastAsia="Times New Roman" w:hAnsi="Times New Roman"/>
          <w:lang w:val="fr-FR"/>
        </w:rPr>
        <w:t xml:space="preserve"> </w:t>
      </w:r>
      <w:r w:rsidR="00231A17" w:rsidRPr="008C365F">
        <w:rPr>
          <w:lang w:val="fr-FR"/>
        </w:rPr>
        <w:t xml:space="preserve">la nécessité, qui était primordiale, de préserver, autant que possible, le lien entre la requérante – </w:t>
      </w:r>
      <w:r w:rsidR="00F918F0">
        <w:rPr>
          <w:lang w:val="fr-FR"/>
        </w:rPr>
        <w:t>laquelle</w:t>
      </w:r>
      <w:r w:rsidR="00F918F0" w:rsidRPr="008C365F">
        <w:rPr>
          <w:lang w:val="fr-FR"/>
        </w:rPr>
        <w:t xml:space="preserve"> </w:t>
      </w:r>
      <w:r w:rsidR="00231A17" w:rsidRPr="008C365F">
        <w:rPr>
          <w:lang w:val="fr-FR"/>
        </w:rPr>
        <w:t>se trouvait par ailleurs en situ</w:t>
      </w:r>
      <w:r w:rsidR="00231A17">
        <w:rPr>
          <w:lang w:val="fr-FR"/>
        </w:rPr>
        <w:t xml:space="preserve">ation de vulnérabilité </w:t>
      </w:r>
      <w:r w:rsidR="00F918F0">
        <w:rPr>
          <w:lang w:val="fr-FR"/>
        </w:rPr>
        <w:t>–</w:t>
      </w:r>
      <w:r w:rsidR="00231A17">
        <w:rPr>
          <w:lang w:val="fr-FR"/>
        </w:rPr>
        <w:t xml:space="preserve"> et ses </w:t>
      </w:r>
      <w:r w:rsidR="00231A17" w:rsidRPr="008C365F">
        <w:rPr>
          <w:lang w:val="fr-FR"/>
        </w:rPr>
        <w:t>fils n</w:t>
      </w:r>
      <w:r w:rsidR="00E91700">
        <w:rPr>
          <w:lang w:val="fr-FR"/>
        </w:rPr>
        <w:t>’</w:t>
      </w:r>
      <w:r w:rsidR="00231A17" w:rsidRPr="008C365F">
        <w:rPr>
          <w:lang w:val="fr-FR"/>
        </w:rPr>
        <w:t>a pas été prise dûment en considération</w:t>
      </w:r>
      <w:r w:rsidR="00231A17">
        <w:rPr>
          <w:lang w:val="fr-FR"/>
        </w:rPr>
        <w:t xml:space="preserve"> (</w:t>
      </w:r>
      <w:r w:rsidR="00231A17" w:rsidRPr="00DB5FF1">
        <w:rPr>
          <w:i/>
          <w:lang w:val="fr-FR"/>
        </w:rPr>
        <w:t>Zhou</w:t>
      </w:r>
      <w:r w:rsidR="00231A17">
        <w:rPr>
          <w:lang w:val="fr-FR"/>
        </w:rPr>
        <w:t>, §</w:t>
      </w:r>
      <w:r w:rsidR="005D0E24">
        <w:rPr>
          <w:lang w:val="fr-FR"/>
        </w:rPr>
        <w:t> </w:t>
      </w:r>
      <w:r w:rsidR="00231A17">
        <w:rPr>
          <w:lang w:val="fr-FR"/>
        </w:rPr>
        <w:t>58, précité)</w:t>
      </w:r>
      <w:r w:rsidR="00231A17" w:rsidRPr="008C365F">
        <w:rPr>
          <w:lang w:val="fr-FR"/>
        </w:rPr>
        <w:t>.</w:t>
      </w:r>
      <w:r w:rsidR="00231A17">
        <w:rPr>
          <w:lang w:val="fr-FR"/>
        </w:rPr>
        <w:t xml:space="preserve"> </w:t>
      </w:r>
      <w:r>
        <w:rPr>
          <w:lang w:val="fr-FR"/>
        </w:rPr>
        <w:t>L</w:t>
      </w:r>
      <w:r w:rsidR="008C365F" w:rsidRPr="008C365F">
        <w:rPr>
          <w:lang w:val="fr-FR"/>
        </w:rPr>
        <w:t>es autorités judiciaires se sont born</w:t>
      </w:r>
      <w:r w:rsidR="00D7181A">
        <w:rPr>
          <w:lang w:val="fr-FR"/>
        </w:rPr>
        <w:t>ées à prendre en considération l</w:t>
      </w:r>
      <w:r w:rsidR="008C365F" w:rsidRPr="008C365F">
        <w:rPr>
          <w:lang w:val="fr-FR"/>
        </w:rPr>
        <w:t>es difficultés</w:t>
      </w:r>
      <w:r w:rsidR="008964C1">
        <w:rPr>
          <w:lang w:val="fr-FR"/>
        </w:rPr>
        <w:t xml:space="preserve"> de la famille</w:t>
      </w:r>
      <w:r w:rsidR="008C365F" w:rsidRPr="008C365F">
        <w:rPr>
          <w:lang w:val="fr-FR"/>
        </w:rPr>
        <w:t>, qui auraient pu être surmontées au moyen d</w:t>
      </w:r>
      <w:r w:rsidR="00E91700">
        <w:rPr>
          <w:lang w:val="fr-FR"/>
        </w:rPr>
        <w:t>’</w:t>
      </w:r>
      <w:r w:rsidR="008C365F" w:rsidRPr="008C365F">
        <w:rPr>
          <w:lang w:val="fr-FR"/>
        </w:rPr>
        <w:t>une assistance sociale ciblée</w:t>
      </w:r>
      <w:r w:rsidR="00D7181A">
        <w:rPr>
          <w:lang w:val="fr-FR"/>
        </w:rPr>
        <w:t xml:space="preserve">, comme </w:t>
      </w:r>
      <w:r w:rsidR="002D37D2">
        <w:rPr>
          <w:lang w:val="fr-FR"/>
        </w:rPr>
        <w:t xml:space="preserve">indiqué </w:t>
      </w:r>
      <w:r w:rsidR="00F76BB4">
        <w:rPr>
          <w:lang w:val="fr-FR"/>
        </w:rPr>
        <w:t>par ailleurs dans l</w:t>
      </w:r>
      <w:r w:rsidR="00E91700">
        <w:rPr>
          <w:lang w:val="fr-FR"/>
        </w:rPr>
        <w:t>’</w:t>
      </w:r>
      <w:r w:rsidR="00F76BB4">
        <w:rPr>
          <w:lang w:val="fr-FR"/>
        </w:rPr>
        <w:t>expertis</w:t>
      </w:r>
      <w:r w:rsidR="00D7181A">
        <w:rPr>
          <w:lang w:val="fr-FR"/>
        </w:rPr>
        <w:t>e</w:t>
      </w:r>
      <w:r w:rsidR="008C365F" w:rsidRPr="008C365F">
        <w:rPr>
          <w:lang w:val="fr-FR"/>
        </w:rPr>
        <w:t xml:space="preserve">. </w:t>
      </w:r>
      <w:r>
        <w:rPr>
          <w:lang w:val="fr-FR"/>
        </w:rPr>
        <w:t>S</w:t>
      </w:r>
      <w:r w:rsidR="00E91700">
        <w:rPr>
          <w:lang w:val="fr-FR"/>
        </w:rPr>
        <w:t>’</w:t>
      </w:r>
      <w:r>
        <w:rPr>
          <w:lang w:val="fr-FR"/>
        </w:rPr>
        <w:t>il est vrai qu</w:t>
      </w:r>
      <w:r w:rsidR="00E91700">
        <w:rPr>
          <w:lang w:val="fr-FR"/>
        </w:rPr>
        <w:t>’</w:t>
      </w:r>
      <w:r w:rsidR="008C365F">
        <w:rPr>
          <w:lang w:val="fr-FR"/>
        </w:rPr>
        <w:t xml:space="preserve">un </w:t>
      </w:r>
      <w:r w:rsidR="00D7181A">
        <w:rPr>
          <w:lang w:val="fr-FR"/>
        </w:rPr>
        <w:t xml:space="preserve">premier </w:t>
      </w:r>
      <w:r w:rsidR="008C365F">
        <w:rPr>
          <w:lang w:val="fr-FR"/>
        </w:rPr>
        <w:t xml:space="preserve">parcours de soutien </w:t>
      </w:r>
      <w:r w:rsidR="008964C1">
        <w:rPr>
          <w:lang w:val="fr-FR"/>
        </w:rPr>
        <w:t xml:space="preserve">avait été </w:t>
      </w:r>
      <w:r w:rsidR="008C365F">
        <w:rPr>
          <w:lang w:val="fr-FR"/>
        </w:rPr>
        <w:t xml:space="preserve">mis en place </w:t>
      </w:r>
      <w:r w:rsidR="00D7181A">
        <w:rPr>
          <w:lang w:val="fr-FR"/>
        </w:rPr>
        <w:t xml:space="preserve">en 2009 </w:t>
      </w:r>
      <w:r w:rsidR="008C365F">
        <w:rPr>
          <w:lang w:val="fr-FR"/>
        </w:rPr>
        <w:t xml:space="preserve">et </w:t>
      </w:r>
      <w:r w:rsidR="008964C1">
        <w:rPr>
          <w:lang w:val="fr-FR"/>
        </w:rPr>
        <w:t xml:space="preserve">avait échoué </w:t>
      </w:r>
      <w:r w:rsidR="008C365F">
        <w:rPr>
          <w:lang w:val="fr-FR"/>
        </w:rPr>
        <w:t>à cause de l</w:t>
      </w:r>
      <w:r w:rsidR="00E91700">
        <w:rPr>
          <w:lang w:val="fr-FR"/>
        </w:rPr>
        <w:t>’</w:t>
      </w:r>
      <w:r w:rsidR="008C365F">
        <w:rPr>
          <w:lang w:val="fr-FR"/>
        </w:rPr>
        <w:t xml:space="preserve">aggravation de la maladie de la requérante et de la cessation de la cohabitation avec son mari, </w:t>
      </w:r>
      <w:r w:rsidR="008964C1">
        <w:rPr>
          <w:lang w:val="fr-FR"/>
        </w:rPr>
        <w:t xml:space="preserve">ces circonstances ne suffisaient </w:t>
      </w:r>
      <w:r w:rsidR="008C365F">
        <w:rPr>
          <w:lang w:val="fr-FR"/>
        </w:rPr>
        <w:t xml:space="preserve">pas à justifier </w:t>
      </w:r>
      <w:r w:rsidR="00F918F0">
        <w:rPr>
          <w:lang w:val="fr-FR"/>
        </w:rPr>
        <w:t xml:space="preserve">la suppression </w:t>
      </w:r>
      <w:r w:rsidR="008C365F">
        <w:rPr>
          <w:lang w:val="fr-FR"/>
        </w:rPr>
        <w:t xml:space="preserve">de toute </w:t>
      </w:r>
      <w:r>
        <w:rPr>
          <w:lang w:val="fr-FR"/>
        </w:rPr>
        <w:t xml:space="preserve">opportunité </w:t>
      </w:r>
      <w:r w:rsidR="008C365F">
        <w:rPr>
          <w:lang w:val="fr-FR"/>
        </w:rPr>
        <w:t>pour l</w:t>
      </w:r>
      <w:r w:rsidR="008C365F" w:rsidRPr="008C365F">
        <w:rPr>
          <w:rFonts w:eastAsia="Times New Roman"/>
          <w:lang w:val="fr-FR"/>
        </w:rPr>
        <w:t>a</w:t>
      </w:r>
      <w:r w:rsidR="008C365F" w:rsidRPr="008C365F">
        <w:rPr>
          <w:lang w:val="fr-FR"/>
        </w:rPr>
        <w:t xml:space="preserve"> requérante </w:t>
      </w:r>
      <w:r w:rsidR="008C365F">
        <w:rPr>
          <w:lang w:val="fr-FR"/>
        </w:rPr>
        <w:t>de renouer des liens avec ses enfants.</w:t>
      </w:r>
    </w:p>
    <w:p w:rsidR="00C31CD3" w:rsidRDefault="00EF49B4" w:rsidP="00EF49B4">
      <w:pPr>
        <w:pStyle w:val="ECHRPara"/>
        <w:ind w:firstLine="357"/>
        <w:rPr>
          <w:rFonts w:ascii="Times New Roman" w:hAnsi="Times New Roman"/>
          <w:szCs w:val="24"/>
          <w:lang w:val="fr-FR"/>
        </w:rPr>
      </w:pPr>
      <w:r>
        <w:rPr>
          <w:lang w:val="fr-FR"/>
        </w:rPr>
        <w:fldChar w:fldCharType="begin"/>
      </w:r>
      <w:r>
        <w:rPr>
          <w:lang w:val="fr-FR"/>
        </w:rPr>
        <w:instrText xml:space="preserve"> SEQ level0 \*arabic </w:instrText>
      </w:r>
      <w:r>
        <w:rPr>
          <w:lang w:val="fr-FR"/>
        </w:rPr>
        <w:fldChar w:fldCharType="separate"/>
      </w:r>
      <w:r w:rsidR="0096090F">
        <w:rPr>
          <w:noProof/>
          <w:lang w:val="fr-FR"/>
        </w:rPr>
        <w:t>58</w:t>
      </w:r>
      <w:r>
        <w:rPr>
          <w:lang w:val="fr-FR"/>
        </w:rPr>
        <w:fldChar w:fldCharType="end"/>
      </w:r>
      <w:r w:rsidR="00702C82">
        <w:rPr>
          <w:lang w:val="fr-FR"/>
        </w:rPr>
        <w:t>. </w:t>
      </w:r>
      <w:r w:rsidR="00680FA7">
        <w:rPr>
          <w:lang w:val="fr-FR"/>
        </w:rPr>
        <w:t> </w:t>
      </w:r>
      <w:r w:rsidR="004960C0">
        <w:rPr>
          <w:rFonts w:ascii="Times New Roman" w:hAnsi="Times New Roman"/>
          <w:szCs w:val="24"/>
          <w:lang w:val="fr-FR"/>
        </w:rPr>
        <w:t>Eu égard à ces considérations et nonobstant la marge d</w:t>
      </w:r>
      <w:r w:rsidR="00E91700">
        <w:rPr>
          <w:rFonts w:ascii="Times New Roman" w:hAnsi="Times New Roman"/>
          <w:szCs w:val="24"/>
          <w:lang w:val="fr-FR"/>
        </w:rPr>
        <w:t>’</w:t>
      </w:r>
      <w:r w:rsidR="004960C0">
        <w:rPr>
          <w:rFonts w:ascii="Times New Roman" w:hAnsi="Times New Roman"/>
          <w:szCs w:val="24"/>
          <w:lang w:val="fr-FR"/>
        </w:rPr>
        <w:t>appréciation de l</w:t>
      </w:r>
      <w:r w:rsidR="00E91700">
        <w:rPr>
          <w:rFonts w:ascii="Times New Roman" w:hAnsi="Times New Roman"/>
          <w:szCs w:val="24"/>
          <w:lang w:val="fr-FR"/>
        </w:rPr>
        <w:t>’</w:t>
      </w:r>
      <w:r w:rsidR="004960C0">
        <w:rPr>
          <w:rFonts w:ascii="Times New Roman" w:hAnsi="Times New Roman"/>
          <w:szCs w:val="24"/>
          <w:lang w:val="fr-FR"/>
        </w:rPr>
        <w:t xml:space="preserve">État en la matière, la Cour conclut que les autorités italiennes, en </w:t>
      </w:r>
      <w:r w:rsidR="004960C0">
        <w:rPr>
          <w:rFonts w:ascii="Times New Roman" w:hAnsi="Times New Roman"/>
          <w:szCs w:val="24"/>
          <w:lang w:val="fr-FR"/>
        </w:rPr>
        <w:lastRenderedPageBreak/>
        <w:t xml:space="preserve">envisageant que la seule rupture définitive et irréversible du lien familial, </w:t>
      </w:r>
      <w:r w:rsidR="004960C0" w:rsidRPr="004960C0">
        <w:rPr>
          <w:rFonts w:ascii="Times New Roman" w:hAnsi="Times New Roman"/>
          <w:bCs/>
          <w:szCs w:val="24"/>
          <w:lang w:val="fr-FR"/>
        </w:rPr>
        <w:t>alors que d</w:t>
      </w:r>
      <w:r w:rsidR="00E91700">
        <w:rPr>
          <w:rFonts w:ascii="Times New Roman" w:hAnsi="Times New Roman"/>
          <w:bCs/>
          <w:szCs w:val="24"/>
          <w:lang w:val="fr-FR"/>
        </w:rPr>
        <w:t>’</w:t>
      </w:r>
      <w:r w:rsidR="004960C0" w:rsidRPr="004960C0">
        <w:rPr>
          <w:rFonts w:ascii="Times New Roman" w:hAnsi="Times New Roman"/>
          <w:bCs/>
          <w:szCs w:val="24"/>
          <w:lang w:val="fr-FR"/>
        </w:rPr>
        <w:t>autres solutions visant à sauvegarder à la fois l</w:t>
      </w:r>
      <w:r w:rsidR="00E91700">
        <w:rPr>
          <w:rFonts w:ascii="Times New Roman" w:hAnsi="Times New Roman"/>
          <w:bCs/>
          <w:szCs w:val="24"/>
          <w:lang w:val="fr-FR"/>
        </w:rPr>
        <w:t>’</w:t>
      </w:r>
      <w:r w:rsidR="004960C0" w:rsidRPr="004960C0">
        <w:rPr>
          <w:rFonts w:ascii="Times New Roman" w:hAnsi="Times New Roman"/>
          <w:bCs/>
          <w:szCs w:val="24"/>
          <w:lang w:val="fr-FR"/>
        </w:rPr>
        <w:t>intérêt des enfants et le lien familial étaient praticables en l</w:t>
      </w:r>
      <w:r w:rsidR="00E91700">
        <w:rPr>
          <w:rFonts w:ascii="Times New Roman" w:hAnsi="Times New Roman"/>
          <w:bCs/>
          <w:szCs w:val="24"/>
          <w:lang w:val="fr-FR"/>
        </w:rPr>
        <w:t>’</w:t>
      </w:r>
      <w:r w:rsidR="004960C0" w:rsidRPr="004960C0">
        <w:rPr>
          <w:rFonts w:ascii="Times New Roman" w:hAnsi="Times New Roman"/>
          <w:bCs/>
          <w:szCs w:val="24"/>
          <w:lang w:val="fr-FR"/>
        </w:rPr>
        <w:t>espèce</w:t>
      </w:r>
      <w:r w:rsidR="004960C0">
        <w:rPr>
          <w:rFonts w:ascii="Times New Roman" w:hAnsi="Times New Roman"/>
          <w:szCs w:val="24"/>
          <w:lang w:val="fr-FR"/>
        </w:rPr>
        <w:t>, n</w:t>
      </w:r>
      <w:r w:rsidR="00E91700">
        <w:rPr>
          <w:rFonts w:ascii="Times New Roman" w:hAnsi="Times New Roman"/>
          <w:szCs w:val="24"/>
          <w:lang w:val="fr-FR"/>
        </w:rPr>
        <w:t>’</w:t>
      </w:r>
      <w:r w:rsidR="004960C0">
        <w:rPr>
          <w:rFonts w:ascii="Times New Roman" w:hAnsi="Times New Roman"/>
          <w:szCs w:val="24"/>
          <w:lang w:val="fr-FR"/>
        </w:rPr>
        <w:t>ont pas déployé des efforts adéquats et suffisants pour faire respecter le droit de la requérante à vivre avec ses enfants, méconnaissant ainsi son droit au respect de la vie familiale, garanti par l</w:t>
      </w:r>
      <w:r w:rsidR="00E91700">
        <w:rPr>
          <w:rFonts w:ascii="Times New Roman" w:hAnsi="Times New Roman"/>
          <w:szCs w:val="24"/>
          <w:lang w:val="fr-FR"/>
        </w:rPr>
        <w:t>’</w:t>
      </w:r>
      <w:r w:rsidR="004960C0">
        <w:rPr>
          <w:rFonts w:ascii="Times New Roman" w:hAnsi="Times New Roman"/>
          <w:szCs w:val="24"/>
          <w:lang w:val="fr-FR"/>
        </w:rPr>
        <w:t>article 8 de la Convention. Il y a donc eu violation de cette disposition.</w:t>
      </w:r>
    </w:p>
    <w:p w:rsidR="00E77CB3" w:rsidRPr="001F576E" w:rsidRDefault="00C35D44" w:rsidP="00C63990">
      <w:pPr>
        <w:pStyle w:val="ECHRHeading1"/>
        <w:rPr>
          <w:lang w:val="fr-FR"/>
        </w:rPr>
      </w:pPr>
      <w:r>
        <w:rPr>
          <w:lang w:val="fr-FR"/>
        </w:rPr>
        <w:t>II</w:t>
      </w:r>
      <w:r w:rsidR="00E77CB3" w:rsidRPr="001F576E">
        <w:rPr>
          <w:lang w:val="fr-FR"/>
        </w:rPr>
        <w:t>.  SUR L</w:t>
      </w:r>
      <w:r w:rsidR="00E91700">
        <w:rPr>
          <w:lang w:val="fr-FR"/>
        </w:rPr>
        <w:t>’</w:t>
      </w:r>
      <w:r w:rsidR="00E77CB3" w:rsidRPr="001F576E">
        <w:rPr>
          <w:lang w:val="fr-FR"/>
        </w:rPr>
        <w:t>APPLICATION DE L</w:t>
      </w:r>
      <w:r w:rsidR="00E91700">
        <w:rPr>
          <w:lang w:val="fr-FR"/>
        </w:rPr>
        <w:t>’</w:t>
      </w:r>
      <w:r w:rsidR="00E77CB3" w:rsidRPr="001F576E">
        <w:rPr>
          <w:lang w:val="fr-FR"/>
        </w:rPr>
        <w:t>ARTICLE</w:t>
      </w:r>
      <w:r w:rsidR="005D0E24">
        <w:rPr>
          <w:lang w:val="fr-FR"/>
        </w:rPr>
        <w:t> </w:t>
      </w:r>
      <w:r w:rsidR="00E77CB3" w:rsidRPr="001F576E">
        <w:rPr>
          <w:lang w:val="fr-FR"/>
        </w:rPr>
        <w:t>41 DE LA CONVENTION</w:t>
      </w:r>
    </w:p>
    <w:p w:rsidR="00E77CB3" w:rsidRPr="001F576E" w:rsidRDefault="00C35D44" w:rsidP="00C63990">
      <w:pPr>
        <w:pStyle w:val="ECHRPara"/>
        <w:rPr>
          <w:lang w:val="fr-FR"/>
        </w:rPr>
      </w:pPr>
      <w:r>
        <w:rPr>
          <w:lang w:val="fr-FR"/>
        </w:rPr>
        <w:fldChar w:fldCharType="begin"/>
      </w:r>
      <w:r>
        <w:rPr>
          <w:lang w:val="fr-FR"/>
        </w:rPr>
        <w:instrText xml:space="preserve"> SEQ level0 \*arabic </w:instrText>
      </w:r>
      <w:r>
        <w:rPr>
          <w:lang w:val="fr-FR"/>
        </w:rPr>
        <w:fldChar w:fldCharType="separate"/>
      </w:r>
      <w:r w:rsidR="0096090F">
        <w:rPr>
          <w:noProof/>
          <w:lang w:val="fr-FR"/>
        </w:rPr>
        <w:t>59</w:t>
      </w:r>
      <w:r>
        <w:rPr>
          <w:lang w:val="fr-FR"/>
        </w:rPr>
        <w:fldChar w:fldCharType="end"/>
      </w:r>
      <w:r>
        <w:rPr>
          <w:lang w:val="fr-FR"/>
        </w:rPr>
        <w:t>.  </w:t>
      </w:r>
      <w:r w:rsidR="00E77CB3" w:rsidRPr="001F576E">
        <w:rPr>
          <w:lang w:val="fr-FR"/>
        </w:rPr>
        <w:t>Aux termes de l</w:t>
      </w:r>
      <w:r w:rsidR="00E91700">
        <w:rPr>
          <w:lang w:val="fr-FR"/>
        </w:rPr>
        <w:t>’</w:t>
      </w:r>
      <w:r w:rsidR="00E77CB3" w:rsidRPr="001F576E">
        <w:rPr>
          <w:lang w:val="fr-FR"/>
        </w:rPr>
        <w:t>article</w:t>
      </w:r>
      <w:r w:rsidR="005D0E24">
        <w:rPr>
          <w:lang w:val="fr-FR"/>
        </w:rPr>
        <w:t> </w:t>
      </w:r>
      <w:r w:rsidR="00E77CB3" w:rsidRPr="001F576E">
        <w:rPr>
          <w:lang w:val="fr-FR"/>
        </w:rPr>
        <w:t>41 de la Convention,</w:t>
      </w:r>
    </w:p>
    <w:p w:rsidR="00E77CB3" w:rsidRPr="001F576E" w:rsidRDefault="00E77CB3" w:rsidP="00E77CB3">
      <w:pPr>
        <w:pStyle w:val="ECHRParaQuote"/>
        <w:keepNext/>
        <w:keepLines/>
        <w:rPr>
          <w:lang w:val="fr-FR"/>
        </w:rPr>
      </w:pPr>
      <w:r w:rsidRPr="001F576E">
        <w:rPr>
          <w:lang w:val="fr-FR"/>
        </w:rPr>
        <w:t>« Si la Cour déclare qu</w:t>
      </w:r>
      <w:r w:rsidR="00E91700">
        <w:rPr>
          <w:lang w:val="fr-FR"/>
        </w:rPr>
        <w:t>’</w:t>
      </w:r>
      <w:r w:rsidRPr="001F576E">
        <w:rPr>
          <w:lang w:val="fr-FR"/>
        </w:rPr>
        <w:t>il y a eu violation de la Convention ou de ses Protocoles, et si le droit interne de la Haute Partie contractante ne permet d</w:t>
      </w:r>
      <w:r w:rsidR="00E91700">
        <w:rPr>
          <w:lang w:val="fr-FR"/>
        </w:rPr>
        <w:t>’</w:t>
      </w:r>
      <w:r w:rsidRPr="001F576E">
        <w:rPr>
          <w:lang w:val="fr-FR"/>
        </w:rPr>
        <w:t>effacer qu</w:t>
      </w:r>
      <w:r w:rsidR="00E91700">
        <w:rPr>
          <w:lang w:val="fr-FR"/>
        </w:rPr>
        <w:t>’</w:t>
      </w:r>
      <w:r w:rsidRPr="001F576E">
        <w:rPr>
          <w:lang w:val="fr-FR"/>
        </w:rPr>
        <w:t>imparfaitement les conséquences de cette violation, la Cour accorde à la partie lésée, s</w:t>
      </w:r>
      <w:r w:rsidR="00E91700">
        <w:rPr>
          <w:lang w:val="fr-FR"/>
        </w:rPr>
        <w:t>’</w:t>
      </w:r>
      <w:r w:rsidRPr="001F576E">
        <w:rPr>
          <w:lang w:val="fr-FR"/>
        </w:rPr>
        <w:t>il y a lieu, une satisfaction équitable. »</w:t>
      </w:r>
    </w:p>
    <w:p w:rsidR="00E77CB3" w:rsidRPr="001F576E" w:rsidRDefault="00E77CB3" w:rsidP="00E77CB3">
      <w:pPr>
        <w:pStyle w:val="ECHRHeading2"/>
        <w:outlineLvl w:val="0"/>
        <w:rPr>
          <w:lang w:val="fr-FR"/>
        </w:rPr>
      </w:pPr>
      <w:r w:rsidRPr="001F576E">
        <w:rPr>
          <w:lang w:val="fr-FR"/>
        </w:rPr>
        <w:t>A.  Dommage</w:t>
      </w:r>
    </w:p>
    <w:p w:rsidR="00E77CB3" w:rsidRPr="001F576E" w:rsidRDefault="00C35D44" w:rsidP="00C63990">
      <w:pPr>
        <w:pStyle w:val="ECHRPara"/>
        <w:rPr>
          <w:lang w:val="fr-FR"/>
        </w:rPr>
      </w:pPr>
      <w:r>
        <w:rPr>
          <w:lang w:val="fr-FR"/>
        </w:rPr>
        <w:fldChar w:fldCharType="begin"/>
      </w:r>
      <w:r>
        <w:rPr>
          <w:lang w:val="fr-FR"/>
        </w:rPr>
        <w:instrText xml:space="preserve"> SEQ level0 \*arabic </w:instrText>
      </w:r>
      <w:r>
        <w:rPr>
          <w:lang w:val="fr-FR"/>
        </w:rPr>
        <w:fldChar w:fldCharType="separate"/>
      </w:r>
      <w:r w:rsidR="0096090F">
        <w:rPr>
          <w:noProof/>
          <w:lang w:val="fr-FR"/>
        </w:rPr>
        <w:t>60</w:t>
      </w:r>
      <w:r>
        <w:rPr>
          <w:lang w:val="fr-FR"/>
        </w:rPr>
        <w:fldChar w:fldCharType="end"/>
      </w:r>
      <w:r>
        <w:rPr>
          <w:lang w:val="fr-FR"/>
        </w:rPr>
        <w:t>.  La requérant</w:t>
      </w:r>
      <w:r w:rsidR="00863E96" w:rsidRPr="001F576E">
        <w:rPr>
          <w:lang w:val="fr-FR"/>
        </w:rPr>
        <w:t>e</w:t>
      </w:r>
      <w:r>
        <w:rPr>
          <w:lang w:val="fr-FR"/>
        </w:rPr>
        <w:t xml:space="preserve"> réclame 300</w:t>
      </w:r>
      <w:r w:rsidR="005D0E24">
        <w:rPr>
          <w:lang w:val="fr-FR"/>
        </w:rPr>
        <w:t> </w:t>
      </w:r>
      <w:r>
        <w:rPr>
          <w:lang w:val="fr-FR"/>
        </w:rPr>
        <w:t>000</w:t>
      </w:r>
      <w:r w:rsidR="00E77CB3" w:rsidRPr="001F576E">
        <w:rPr>
          <w:lang w:val="fr-FR"/>
        </w:rPr>
        <w:t xml:space="preserve"> euros (EUR) au titre du préjudice </w:t>
      </w:r>
      <w:r w:rsidR="00B16876">
        <w:rPr>
          <w:lang w:val="fr-FR"/>
        </w:rPr>
        <w:t xml:space="preserve">moral </w:t>
      </w:r>
      <w:r w:rsidR="00E77CB3" w:rsidRPr="001F576E">
        <w:rPr>
          <w:lang w:val="fr-FR"/>
        </w:rPr>
        <w:t>qu</w:t>
      </w:r>
      <w:r w:rsidR="00E91700">
        <w:rPr>
          <w:lang w:val="fr-FR"/>
        </w:rPr>
        <w:t>’</w:t>
      </w:r>
      <w:r w:rsidR="00863E96" w:rsidRPr="001F576E">
        <w:rPr>
          <w:lang w:val="fr-FR"/>
        </w:rPr>
        <w:t>elle</w:t>
      </w:r>
      <w:r w:rsidR="00E77CB3" w:rsidRPr="001F576E">
        <w:rPr>
          <w:lang w:val="fr-FR"/>
        </w:rPr>
        <w:t xml:space="preserve"> aurait subi</w:t>
      </w:r>
      <w:r>
        <w:rPr>
          <w:lang w:val="fr-FR"/>
        </w:rPr>
        <w:t xml:space="preserve"> du fait de la violation de l</w:t>
      </w:r>
      <w:r w:rsidR="00E91700">
        <w:rPr>
          <w:lang w:val="fr-FR"/>
        </w:rPr>
        <w:t>’</w:t>
      </w:r>
      <w:r>
        <w:rPr>
          <w:lang w:val="fr-FR"/>
        </w:rPr>
        <w:t>article</w:t>
      </w:r>
      <w:r w:rsidR="005D0E24">
        <w:rPr>
          <w:lang w:val="fr-FR"/>
        </w:rPr>
        <w:t> </w:t>
      </w:r>
      <w:r>
        <w:rPr>
          <w:lang w:val="fr-FR"/>
        </w:rPr>
        <w:t>8</w:t>
      </w:r>
      <w:r w:rsidR="00E77CB3" w:rsidRPr="001F576E">
        <w:rPr>
          <w:lang w:val="fr-FR"/>
        </w:rPr>
        <w:t>.</w:t>
      </w:r>
    </w:p>
    <w:p w:rsidR="00E77CB3" w:rsidRPr="001F576E" w:rsidRDefault="00863E96" w:rsidP="00C63990">
      <w:pPr>
        <w:pStyle w:val="ECHRPara"/>
        <w:rPr>
          <w:lang w:val="fr-FR"/>
        </w:rPr>
      </w:pPr>
      <w:r>
        <w:rPr>
          <w:lang w:val="fr-FR"/>
        </w:rPr>
        <w:fldChar w:fldCharType="begin"/>
      </w:r>
      <w:r>
        <w:rPr>
          <w:lang w:val="fr-FR"/>
        </w:rPr>
        <w:instrText xml:space="preserve"> SEQ level0 \*arabic </w:instrText>
      </w:r>
      <w:r>
        <w:rPr>
          <w:lang w:val="fr-FR"/>
        </w:rPr>
        <w:fldChar w:fldCharType="separate"/>
      </w:r>
      <w:r w:rsidR="0096090F">
        <w:rPr>
          <w:noProof/>
          <w:lang w:val="fr-FR"/>
        </w:rPr>
        <w:t>61</w:t>
      </w:r>
      <w:r>
        <w:rPr>
          <w:lang w:val="fr-FR"/>
        </w:rPr>
        <w:fldChar w:fldCharType="end"/>
      </w:r>
      <w:r w:rsidR="00C35D44">
        <w:rPr>
          <w:lang w:val="fr-FR"/>
        </w:rPr>
        <w:t>.  Le Gouvernement</w:t>
      </w:r>
      <w:r w:rsidR="00BD432E">
        <w:rPr>
          <w:lang w:val="fr-FR"/>
        </w:rPr>
        <w:t xml:space="preserve"> s</w:t>
      </w:r>
      <w:r w:rsidR="00E91700">
        <w:rPr>
          <w:lang w:val="fr-FR"/>
        </w:rPr>
        <w:t>’</w:t>
      </w:r>
      <w:r w:rsidR="00E56ABA">
        <w:rPr>
          <w:lang w:val="fr-FR"/>
        </w:rPr>
        <w:t xml:space="preserve">y </w:t>
      </w:r>
      <w:r w:rsidR="00BD432E">
        <w:rPr>
          <w:lang w:val="fr-FR"/>
        </w:rPr>
        <w:t>oppose</w:t>
      </w:r>
      <w:r w:rsidR="00C35D44">
        <w:rPr>
          <w:lang w:val="fr-FR"/>
        </w:rPr>
        <w:t>.</w:t>
      </w:r>
    </w:p>
    <w:p w:rsidR="00881E48" w:rsidRPr="00881E48" w:rsidRDefault="00863E96" w:rsidP="00881E48">
      <w:pPr>
        <w:pStyle w:val="ECHRPara"/>
        <w:rPr>
          <w:lang w:val="fr-FR"/>
        </w:rPr>
      </w:pPr>
      <w:r>
        <w:rPr>
          <w:lang w:val="fr-FR"/>
        </w:rPr>
        <w:fldChar w:fldCharType="begin"/>
      </w:r>
      <w:r>
        <w:rPr>
          <w:lang w:val="fr-FR"/>
        </w:rPr>
        <w:instrText xml:space="preserve"> SEQ level0 \*arabic </w:instrText>
      </w:r>
      <w:r>
        <w:rPr>
          <w:lang w:val="fr-FR"/>
        </w:rPr>
        <w:fldChar w:fldCharType="separate"/>
      </w:r>
      <w:r w:rsidR="0096090F">
        <w:rPr>
          <w:noProof/>
          <w:lang w:val="fr-FR"/>
        </w:rPr>
        <w:t>62</w:t>
      </w:r>
      <w:r>
        <w:rPr>
          <w:lang w:val="fr-FR"/>
        </w:rPr>
        <w:fldChar w:fldCharType="end"/>
      </w:r>
      <w:r w:rsidR="00881E48">
        <w:rPr>
          <w:lang w:val="fr-FR"/>
        </w:rPr>
        <w:t>.  </w:t>
      </w:r>
      <w:r w:rsidR="00881E48" w:rsidRPr="00881E48">
        <w:rPr>
          <w:lang w:val="fr-FR"/>
        </w:rPr>
        <w:t>En tenant compte des circonstances de l</w:t>
      </w:r>
      <w:r w:rsidR="00E91700">
        <w:rPr>
          <w:lang w:val="fr-FR"/>
        </w:rPr>
        <w:t>’</w:t>
      </w:r>
      <w:r w:rsidR="00881E48" w:rsidRPr="00881E48">
        <w:rPr>
          <w:lang w:val="fr-FR"/>
        </w:rPr>
        <w:t>espèce et du constat selon lequel les autorités italiennes n</w:t>
      </w:r>
      <w:r w:rsidR="00E91700">
        <w:rPr>
          <w:lang w:val="fr-FR"/>
        </w:rPr>
        <w:t>’</w:t>
      </w:r>
      <w:r w:rsidR="00881E48" w:rsidRPr="00881E48">
        <w:rPr>
          <w:lang w:val="fr-FR"/>
        </w:rPr>
        <w:t xml:space="preserve">ont pas déployé des efforts adéquats et suffisants pour faire respecter le droit de la </w:t>
      </w:r>
      <w:r w:rsidR="002F3FF5">
        <w:rPr>
          <w:lang w:val="fr-FR"/>
        </w:rPr>
        <w:t>requérante à vivre avec ses</w:t>
      </w:r>
      <w:r w:rsidR="00881E48" w:rsidRPr="00881E48">
        <w:rPr>
          <w:lang w:val="fr-FR"/>
        </w:rPr>
        <w:t xml:space="preserve"> enfant</w:t>
      </w:r>
      <w:r w:rsidR="002F3FF5">
        <w:rPr>
          <w:lang w:val="fr-FR"/>
        </w:rPr>
        <w:t>s</w:t>
      </w:r>
      <w:r w:rsidR="00881E48" w:rsidRPr="00881E48">
        <w:rPr>
          <w:lang w:val="fr-FR"/>
        </w:rPr>
        <w:t>, en violation de l</w:t>
      </w:r>
      <w:r w:rsidR="00E91700">
        <w:rPr>
          <w:lang w:val="fr-FR"/>
        </w:rPr>
        <w:t>’</w:t>
      </w:r>
      <w:r w:rsidR="00881E48" w:rsidRPr="00881E48">
        <w:rPr>
          <w:lang w:val="fr-FR"/>
        </w:rPr>
        <w:t>article</w:t>
      </w:r>
      <w:r w:rsidR="005D0E24">
        <w:rPr>
          <w:lang w:val="fr-FR"/>
        </w:rPr>
        <w:t> </w:t>
      </w:r>
      <w:r w:rsidR="00881E48" w:rsidRPr="00881E48">
        <w:rPr>
          <w:lang w:val="fr-FR"/>
        </w:rPr>
        <w:t xml:space="preserve">8, la Cour </w:t>
      </w:r>
      <w:r w:rsidR="00F918F0">
        <w:rPr>
          <w:lang w:val="fr-FR"/>
        </w:rPr>
        <w:t>est d</w:t>
      </w:r>
      <w:r w:rsidR="00E91700">
        <w:rPr>
          <w:lang w:val="fr-FR"/>
        </w:rPr>
        <w:t>’</w:t>
      </w:r>
      <w:r w:rsidR="00F918F0">
        <w:rPr>
          <w:lang w:val="fr-FR"/>
        </w:rPr>
        <w:t xml:space="preserve">avis </w:t>
      </w:r>
      <w:r w:rsidR="00881E48" w:rsidRPr="00881E48">
        <w:rPr>
          <w:lang w:val="fr-FR"/>
        </w:rPr>
        <w:t>que l</w:t>
      </w:r>
      <w:r w:rsidR="00E91700">
        <w:rPr>
          <w:lang w:val="fr-FR"/>
        </w:rPr>
        <w:t>’</w:t>
      </w:r>
      <w:r w:rsidR="00881E48" w:rsidRPr="00881E48">
        <w:rPr>
          <w:lang w:val="fr-FR"/>
        </w:rPr>
        <w:t xml:space="preserve">intéressée a subi un préjudice moral qui ne saurait être réparé par </w:t>
      </w:r>
      <w:r w:rsidR="005209A4">
        <w:rPr>
          <w:lang w:val="fr-FR"/>
        </w:rPr>
        <w:t>le</w:t>
      </w:r>
      <w:r w:rsidR="00E56ABA" w:rsidRPr="00881E48">
        <w:rPr>
          <w:lang w:val="fr-FR"/>
        </w:rPr>
        <w:t xml:space="preserve"> </w:t>
      </w:r>
      <w:r w:rsidR="00881E48" w:rsidRPr="00881E48">
        <w:rPr>
          <w:lang w:val="fr-FR"/>
        </w:rPr>
        <w:t>seul constat de violation</w:t>
      </w:r>
      <w:r w:rsidR="00E56ABA">
        <w:rPr>
          <w:lang w:val="fr-FR"/>
        </w:rPr>
        <w:t xml:space="preserve"> de la Convention</w:t>
      </w:r>
      <w:r w:rsidR="00881E48" w:rsidRPr="00881E48">
        <w:rPr>
          <w:lang w:val="fr-FR"/>
        </w:rPr>
        <w:t xml:space="preserve">. Elle </w:t>
      </w:r>
      <w:r w:rsidR="00F918F0" w:rsidRPr="00F918F0">
        <w:rPr>
          <w:lang w:val="fr-FR"/>
        </w:rPr>
        <w:t>considère</w:t>
      </w:r>
      <w:r w:rsidR="00881E48" w:rsidRPr="00881E48">
        <w:rPr>
          <w:lang w:val="fr-FR"/>
        </w:rPr>
        <w:t>, toutefois, que la somme réclamée est excessive.</w:t>
      </w:r>
      <w:r w:rsidR="00F918F0">
        <w:rPr>
          <w:lang w:val="fr-FR"/>
        </w:rPr>
        <w:t xml:space="preserve"> </w:t>
      </w:r>
      <w:r w:rsidR="00881E48" w:rsidRPr="00881E48">
        <w:rPr>
          <w:lang w:val="fr-FR"/>
        </w:rPr>
        <w:t>Eu égard à l</w:t>
      </w:r>
      <w:r w:rsidR="00E91700">
        <w:rPr>
          <w:lang w:val="fr-FR"/>
        </w:rPr>
        <w:t>’</w:t>
      </w:r>
      <w:r w:rsidR="00881E48" w:rsidRPr="00881E48">
        <w:rPr>
          <w:lang w:val="fr-FR"/>
        </w:rPr>
        <w:t>ensemble des éléments dont elle dispose et statuant en équité, comme le veut l</w:t>
      </w:r>
      <w:r w:rsidR="00E91700">
        <w:rPr>
          <w:lang w:val="fr-FR"/>
        </w:rPr>
        <w:t>’</w:t>
      </w:r>
      <w:r w:rsidR="00881E48" w:rsidRPr="00881E48">
        <w:rPr>
          <w:lang w:val="fr-FR"/>
        </w:rPr>
        <w:t>article</w:t>
      </w:r>
      <w:r w:rsidR="005D0E24">
        <w:rPr>
          <w:lang w:val="fr-FR"/>
        </w:rPr>
        <w:t> </w:t>
      </w:r>
      <w:r w:rsidR="00881E48" w:rsidRPr="00881E48">
        <w:rPr>
          <w:lang w:val="fr-FR"/>
        </w:rPr>
        <w:t>41 de la Conventio</w:t>
      </w:r>
      <w:r w:rsidR="002F3FF5">
        <w:rPr>
          <w:lang w:val="fr-FR"/>
        </w:rPr>
        <w:t xml:space="preserve">n, </w:t>
      </w:r>
      <w:r w:rsidR="00F918F0">
        <w:rPr>
          <w:lang w:val="fr-FR"/>
        </w:rPr>
        <w:t>la Cour estime qu</w:t>
      </w:r>
      <w:r w:rsidR="00E91700">
        <w:rPr>
          <w:lang w:val="fr-FR"/>
        </w:rPr>
        <w:t>’</w:t>
      </w:r>
      <w:r w:rsidR="00F918F0">
        <w:rPr>
          <w:lang w:val="fr-FR"/>
        </w:rPr>
        <w:t xml:space="preserve">il y a lieu de fixer la somme à </w:t>
      </w:r>
      <w:r w:rsidR="002F3FF5">
        <w:rPr>
          <w:lang w:val="fr-FR"/>
        </w:rPr>
        <w:t>alloue</w:t>
      </w:r>
      <w:r w:rsidR="00F918F0">
        <w:rPr>
          <w:lang w:val="fr-FR"/>
        </w:rPr>
        <w:t>r</w:t>
      </w:r>
      <w:r w:rsidR="002F3FF5">
        <w:rPr>
          <w:lang w:val="fr-FR"/>
        </w:rPr>
        <w:t xml:space="preserve"> à l</w:t>
      </w:r>
      <w:r w:rsidR="00E91700">
        <w:rPr>
          <w:lang w:val="fr-FR"/>
        </w:rPr>
        <w:t>’</w:t>
      </w:r>
      <w:r w:rsidR="002F3FF5">
        <w:rPr>
          <w:lang w:val="fr-FR"/>
        </w:rPr>
        <w:t xml:space="preserve">intéressée </w:t>
      </w:r>
      <w:r w:rsidR="00F918F0">
        <w:rPr>
          <w:lang w:val="fr-FR"/>
        </w:rPr>
        <w:t>au titre dudit préjudice moral</w:t>
      </w:r>
      <w:r w:rsidR="00F918F0" w:rsidRPr="00F918F0">
        <w:rPr>
          <w:lang w:val="fr-FR"/>
        </w:rPr>
        <w:t xml:space="preserve"> à 32 000 EUR</w:t>
      </w:r>
      <w:r w:rsidR="00881E48" w:rsidRPr="00881E48">
        <w:rPr>
          <w:lang w:val="fr-FR"/>
        </w:rPr>
        <w:t>.</w:t>
      </w:r>
    </w:p>
    <w:p w:rsidR="00E77CB3" w:rsidRPr="001F576E" w:rsidRDefault="00E77CB3" w:rsidP="00E77CB3">
      <w:pPr>
        <w:pStyle w:val="ECHRHeading2"/>
        <w:outlineLvl w:val="0"/>
        <w:rPr>
          <w:lang w:val="fr-FR"/>
        </w:rPr>
      </w:pPr>
      <w:r w:rsidRPr="001F576E">
        <w:rPr>
          <w:lang w:val="fr-FR"/>
        </w:rPr>
        <w:t>B.  Frais et dépens</w:t>
      </w:r>
    </w:p>
    <w:p w:rsidR="00E77CB3" w:rsidRPr="001D1650" w:rsidRDefault="00863E96" w:rsidP="000E0768">
      <w:pPr>
        <w:pStyle w:val="ECHRPara"/>
        <w:rPr>
          <w:lang w:val="fr-FR"/>
        </w:rPr>
      </w:pPr>
      <w:r>
        <w:rPr>
          <w:lang w:val="fr-FR"/>
        </w:rPr>
        <w:fldChar w:fldCharType="begin"/>
      </w:r>
      <w:r>
        <w:rPr>
          <w:lang w:val="fr-FR"/>
        </w:rPr>
        <w:instrText xml:space="preserve"> SEQ level0 \*arabic </w:instrText>
      </w:r>
      <w:r>
        <w:rPr>
          <w:lang w:val="fr-FR"/>
        </w:rPr>
        <w:fldChar w:fldCharType="separate"/>
      </w:r>
      <w:r w:rsidR="0096090F">
        <w:rPr>
          <w:noProof/>
          <w:lang w:val="fr-FR"/>
        </w:rPr>
        <w:t>63</w:t>
      </w:r>
      <w:r>
        <w:rPr>
          <w:lang w:val="fr-FR"/>
        </w:rPr>
        <w:fldChar w:fldCharType="end"/>
      </w:r>
      <w:r w:rsidR="00E77CB3" w:rsidRPr="001F576E">
        <w:rPr>
          <w:lang w:val="fr-FR"/>
        </w:rPr>
        <w:t>.  </w:t>
      </w:r>
      <w:r w:rsidRPr="001F576E">
        <w:rPr>
          <w:lang w:val="fr-FR"/>
        </w:rPr>
        <w:t>La requérante</w:t>
      </w:r>
      <w:r w:rsidR="00E77CB3" w:rsidRPr="001F576E">
        <w:rPr>
          <w:lang w:val="fr-FR"/>
        </w:rPr>
        <w:t xml:space="preserve"> </w:t>
      </w:r>
      <w:r w:rsidR="000E0768">
        <w:rPr>
          <w:lang w:val="fr-FR"/>
        </w:rPr>
        <w:t xml:space="preserve">ne </w:t>
      </w:r>
      <w:r w:rsidR="00E77CB3" w:rsidRPr="001F576E">
        <w:rPr>
          <w:lang w:val="fr-FR"/>
        </w:rPr>
        <w:t xml:space="preserve">demande </w:t>
      </w:r>
      <w:r w:rsidR="000E0768">
        <w:rPr>
          <w:lang w:val="fr-FR"/>
        </w:rPr>
        <w:t>aucune somme au titre de</w:t>
      </w:r>
      <w:r w:rsidR="00E56ABA">
        <w:rPr>
          <w:lang w:val="fr-FR"/>
        </w:rPr>
        <w:t>s</w:t>
      </w:r>
      <w:r w:rsidR="000E0768">
        <w:rPr>
          <w:lang w:val="fr-FR"/>
        </w:rPr>
        <w:t xml:space="preserve"> frais et dépens.</w:t>
      </w:r>
      <w:r w:rsidR="001D1650">
        <w:rPr>
          <w:lang w:val="fr-FR"/>
        </w:rPr>
        <w:t xml:space="preserve"> </w:t>
      </w:r>
      <w:r w:rsidR="001D1650" w:rsidRPr="001D1650">
        <w:rPr>
          <w:rStyle w:val="sb8d990e2"/>
          <w:lang w:val="fr-FR"/>
        </w:rPr>
        <w:t>La Cour estime donc q</w:t>
      </w:r>
      <w:r w:rsidR="001D1650">
        <w:rPr>
          <w:rStyle w:val="sb8d990e2"/>
          <w:lang w:val="fr-FR"/>
        </w:rPr>
        <w:t>u</w:t>
      </w:r>
      <w:r w:rsidR="00E91700">
        <w:rPr>
          <w:rStyle w:val="sb8d990e2"/>
          <w:lang w:val="fr-FR"/>
        </w:rPr>
        <w:t>’</w:t>
      </w:r>
      <w:r w:rsidR="001D1650">
        <w:rPr>
          <w:rStyle w:val="sb8d990e2"/>
          <w:lang w:val="fr-FR"/>
        </w:rPr>
        <w:t>il n</w:t>
      </w:r>
      <w:r w:rsidR="00E91700">
        <w:rPr>
          <w:rStyle w:val="sb8d990e2"/>
          <w:lang w:val="fr-FR"/>
        </w:rPr>
        <w:t>’</w:t>
      </w:r>
      <w:r w:rsidR="001D1650">
        <w:rPr>
          <w:rStyle w:val="sb8d990e2"/>
          <w:lang w:val="fr-FR"/>
        </w:rPr>
        <w:t>y a pas lieu d</w:t>
      </w:r>
      <w:r w:rsidR="00E91700">
        <w:rPr>
          <w:rStyle w:val="sb8d990e2"/>
          <w:lang w:val="fr-FR"/>
        </w:rPr>
        <w:t>’</w:t>
      </w:r>
      <w:r w:rsidR="001D1650">
        <w:rPr>
          <w:rStyle w:val="sb8d990e2"/>
          <w:lang w:val="fr-FR"/>
        </w:rPr>
        <w:t>allouer à</w:t>
      </w:r>
      <w:r w:rsidR="001D1650" w:rsidRPr="001D1650">
        <w:rPr>
          <w:rStyle w:val="sb8d990e2"/>
          <w:lang w:val="fr-FR"/>
        </w:rPr>
        <w:t xml:space="preserve"> </w:t>
      </w:r>
      <w:r w:rsidR="001D1650">
        <w:rPr>
          <w:rStyle w:val="sb8d990e2"/>
          <w:lang w:val="fr-FR"/>
        </w:rPr>
        <w:t xml:space="preserve">la </w:t>
      </w:r>
      <w:r w:rsidR="001D1650" w:rsidRPr="001D1650">
        <w:rPr>
          <w:rStyle w:val="sb8d990e2"/>
          <w:lang w:val="fr-FR"/>
        </w:rPr>
        <w:t>requérant</w:t>
      </w:r>
      <w:r w:rsidR="001D1650">
        <w:rPr>
          <w:rStyle w:val="sb8d990e2"/>
          <w:lang w:val="fr-FR"/>
        </w:rPr>
        <w:t>e</w:t>
      </w:r>
      <w:r w:rsidR="001D1650" w:rsidRPr="001D1650">
        <w:rPr>
          <w:rStyle w:val="sb8d990e2"/>
          <w:lang w:val="fr-FR"/>
        </w:rPr>
        <w:t xml:space="preserve"> une somme à ce titre</w:t>
      </w:r>
      <w:r w:rsidR="001D1650">
        <w:rPr>
          <w:rStyle w:val="sb8d990e2"/>
          <w:lang w:val="fr-FR"/>
        </w:rPr>
        <w:t>.</w:t>
      </w:r>
    </w:p>
    <w:p w:rsidR="00E77CB3" w:rsidRPr="001F576E" w:rsidRDefault="00E77CB3" w:rsidP="00E77CB3">
      <w:pPr>
        <w:pStyle w:val="ECHRHeading2"/>
        <w:outlineLvl w:val="0"/>
        <w:rPr>
          <w:lang w:val="fr-FR"/>
        </w:rPr>
      </w:pPr>
      <w:r w:rsidRPr="001F576E">
        <w:rPr>
          <w:lang w:val="fr-FR"/>
        </w:rPr>
        <w:t>C.  Intérêts moratoires</w:t>
      </w:r>
    </w:p>
    <w:p w:rsidR="00E77CB3" w:rsidRPr="001F576E" w:rsidRDefault="00863E96" w:rsidP="00C63990">
      <w:pPr>
        <w:pStyle w:val="ECHRPara"/>
        <w:rPr>
          <w:lang w:val="fr-FR"/>
        </w:rPr>
      </w:pPr>
      <w:r>
        <w:rPr>
          <w:lang w:val="fr-FR"/>
        </w:rPr>
        <w:fldChar w:fldCharType="begin"/>
      </w:r>
      <w:r>
        <w:rPr>
          <w:lang w:val="fr-FR"/>
        </w:rPr>
        <w:instrText xml:space="preserve"> SEQ level0 \*arabic </w:instrText>
      </w:r>
      <w:r>
        <w:rPr>
          <w:lang w:val="fr-FR"/>
        </w:rPr>
        <w:fldChar w:fldCharType="separate"/>
      </w:r>
      <w:r w:rsidR="0096090F">
        <w:rPr>
          <w:noProof/>
          <w:lang w:val="fr-FR"/>
        </w:rPr>
        <w:t>64</w:t>
      </w:r>
      <w:r>
        <w:rPr>
          <w:lang w:val="fr-FR"/>
        </w:rPr>
        <w:fldChar w:fldCharType="end"/>
      </w:r>
      <w:r w:rsidR="00E77CB3" w:rsidRPr="001F576E">
        <w:rPr>
          <w:lang w:val="fr-FR"/>
        </w:rPr>
        <w:t>.  La Cour juge approprié de calquer le taux des intérêts moratoires sur le taux d</w:t>
      </w:r>
      <w:r w:rsidR="00E91700">
        <w:rPr>
          <w:lang w:val="fr-FR"/>
        </w:rPr>
        <w:t>’</w:t>
      </w:r>
      <w:r w:rsidR="00E77CB3" w:rsidRPr="001F576E">
        <w:rPr>
          <w:lang w:val="fr-FR"/>
        </w:rPr>
        <w:t>intérêt de la facilité de prêt marginal de la Banque centrale européenne majoré de trois points de pourcentage.</w:t>
      </w:r>
    </w:p>
    <w:p w:rsidR="00E77CB3" w:rsidRPr="001F576E" w:rsidRDefault="00E77CB3" w:rsidP="00E77CB3">
      <w:pPr>
        <w:pStyle w:val="ECHRTitle1"/>
        <w:rPr>
          <w:lang w:val="fr-FR"/>
        </w:rPr>
      </w:pPr>
      <w:r w:rsidRPr="001F576E">
        <w:rPr>
          <w:lang w:val="fr-FR"/>
        </w:rPr>
        <w:lastRenderedPageBreak/>
        <w:t>PAR CES MOTIFS, LA COUR</w:t>
      </w:r>
      <w:r w:rsidR="00863E96" w:rsidRPr="001F576E">
        <w:rPr>
          <w:lang w:val="fr-FR"/>
        </w:rPr>
        <w:t>, À L</w:t>
      </w:r>
      <w:r w:rsidR="00E91700">
        <w:rPr>
          <w:lang w:val="fr-FR"/>
        </w:rPr>
        <w:t>’</w:t>
      </w:r>
      <w:r w:rsidR="00863E96" w:rsidRPr="001F576E">
        <w:rPr>
          <w:lang w:val="fr-FR"/>
        </w:rPr>
        <w:t>UNANIMITÉ,</w:t>
      </w:r>
    </w:p>
    <w:p w:rsidR="00C31CD3" w:rsidRDefault="00863E96" w:rsidP="00E77CB3">
      <w:pPr>
        <w:pStyle w:val="JuList"/>
        <w:rPr>
          <w:lang w:val="fr-FR"/>
        </w:rPr>
      </w:pPr>
      <w:r w:rsidRPr="001F576E">
        <w:rPr>
          <w:lang w:val="fr-FR"/>
        </w:rPr>
        <w:t>1.  </w:t>
      </w:r>
      <w:r w:rsidRPr="001F576E">
        <w:rPr>
          <w:i/>
          <w:lang w:val="fr-FR"/>
        </w:rPr>
        <w:t>Déclare</w:t>
      </w:r>
      <w:r w:rsidRPr="001F576E">
        <w:rPr>
          <w:lang w:val="fr-FR"/>
        </w:rPr>
        <w:t xml:space="preserve"> </w:t>
      </w:r>
      <w:r w:rsidR="001D1650">
        <w:rPr>
          <w:lang w:val="fr-FR"/>
        </w:rPr>
        <w:t>la requête recevable quant au grief tiré</w:t>
      </w:r>
      <w:r w:rsidRPr="001F576E">
        <w:rPr>
          <w:lang w:val="fr-FR"/>
        </w:rPr>
        <w:t xml:space="preserve"> de </w:t>
      </w:r>
      <w:r w:rsidR="001D1650">
        <w:rPr>
          <w:lang w:val="fr-FR"/>
        </w:rPr>
        <w:t>l</w:t>
      </w:r>
      <w:r w:rsidR="00E91700">
        <w:rPr>
          <w:lang w:val="fr-FR"/>
        </w:rPr>
        <w:t>’</w:t>
      </w:r>
      <w:r w:rsidR="001D1650">
        <w:rPr>
          <w:lang w:val="fr-FR"/>
        </w:rPr>
        <w:t>article</w:t>
      </w:r>
      <w:r w:rsidR="005D0E24">
        <w:rPr>
          <w:lang w:val="fr-FR"/>
        </w:rPr>
        <w:t> </w:t>
      </w:r>
      <w:r w:rsidR="001D1650">
        <w:rPr>
          <w:lang w:val="fr-FR"/>
        </w:rPr>
        <w:t>8 de la Convention</w:t>
      </w:r>
      <w:r w:rsidR="002D37D2">
        <w:rPr>
          <w:lang w:val="fr-FR"/>
        </w:rPr>
        <w:t> </w:t>
      </w:r>
      <w:r w:rsidRPr="001F576E">
        <w:rPr>
          <w:lang w:val="fr-FR"/>
        </w:rPr>
        <w:t>;</w:t>
      </w:r>
    </w:p>
    <w:p w:rsidR="00E77CB3" w:rsidRPr="001F576E" w:rsidRDefault="00E77CB3" w:rsidP="00E77CB3">
      <w:pPr>
        <w:pStyle w:val="JuList"/>
        <w:rPr>
          <w:lang w:val="fr-FR"/>
        </w:rPr>
      </w:pPr>
    </w:p>
    <w:p w:rsidR="00E77CB3" w:rsidRPr="001F576E" w:rsidRDefault="001A0C01" w:rsidP="00E77CB3">
      <w:pPr>
        <w:pStyle w:val="JuList"/>
        <w:rPr>
          <w:lang w:val="fr-FR"/>
        </w:rPr>
      </w:pPr>
      <w:r>
        <w:rPr>
          <w:lang w:val="fr-FR"/>
        </w:rPr>
        <w:t>2</w:t>
      </w:r>
      <w:r w:rsidR="00E77CB3" w:rsidRPr="001F576E">
        <w:rPr>
          <w:lang w:val="fr-FR"/>
        </w:rPr>
        <w:t>.  </w:t>
      </w:r>
      <w:r w:rsidR="00E77CB3" w:rsidRPr="001F576E">
        <w:rPr>
          <w:i/>
          <w:lang w:val="fr-FR"/>
        </w:rPr>
        <w:t>Dit</w:t>
      </w:r>
      <w:r w:rsidR="000C3695">
        <w:rPr>
          <w:lang w:val="fr-FR"/>
        </w:rPr>
        <w:t xml:space="preserve"> </w:t>
      </w:r>
      <w:r w:rsidR="00E77CB3" w:rsidRPr="001F576E">
        <w:rPr>
          <w:lang w:val="fr-FR"/>
        </w:rPr>
        <w:t>qu</w:t>
      </w:r>
      <w:r w:rsidR="00E91700">
        <w:rPr>
          <w:lang w:val="fr-FR"/>
        </w:rPr>
        <w:t>’</w:t>
      </w:r>
      <w:r w:rsidR="00E77CB3" w:rsidRPr="001F576E">
        <w:rPr>
          <w:lang w:val="fr-FR"/>
        </w:rPr>
        <w:t>il y a eu violation de l</w:t>
      </w:r>
      <w:r w:rsidR="00E91700">
        <w:rPr>
          <w:lang w:val="fr-FR"/>
        </w:rPr>
        <w:t>’</w:t>
      </w:r>
      <w:r w:rsidR="00E77CB3" w:rsidRPr="001F576E">
        <w:rPr>
          <w:lang w:val="fr-FR"/>
        </w:rPr>
        <w:t>article</w:t>
      </w:r>
      <w:r w:rsidR="005D0E24">
        <w:rPr>
          <w:lang w:val="fr-FR"/>
        </w:rPr>
        <w:t> </w:t>
      </w:r>
      <w:r>
        <w:rPr>
          <w:lang w:val="fr-FR"/>
        </w:rPr>
        <w:t>8</w:t>
      </w:r>
      <w:r w:rsidR="00E77CB3" w:rsidRPr="001F576E">
        <w:rPr>
          <w:lang w:val="fr-FR"/>
        </w:rPr>
        <w:t xml:space="preserve"> de la Convention ;</w:t>
      </w:r>
    </w:p>
    <w:p w:rsidR="00E77CB3" w:rsidRPr="001F576E" w:rsidRDefault="00E77CB3" w:rsidP="00E77CB3">
      <w:pPr>
        <w:pStyle w:val="JuList"/>
        <w:rPr>
          <w:lang w:val="fr-FR"/>
        </w:rPr>
      </w:pPr>
    </w:p>
    <w:p w:rsidR="00E77CB3" w:rsidRPr="001F576E" w:rsidRDefault="001A0C01" w:rsidP="00E77CB3">
      <w:pPr>
        <w:pStyle w:val="JuList"/>
        <w:rPr>
          <w:lang w:val="fr-FR"/>
        </w:rPr>
      </w:pPr>
      <w:r>
        <w:rPr>
          <w:lang w:val="fr-FR"/>
        </w:rPr>
        <w:t>3</w:t>
      </w:r>
      <w:r w:rsidR="00E77CB3" w:rsidRPr="001F576E">
        <w:rPr>
          <w:lang w:val="fr-FR"/>
        </w:rPr>
        <w:t>.  </w:t>
      </w:r>
      <w:r w:rsidR="00E77CB3" w:rsidRPr="001F576E">
        <w:rPr>
          <w:i/>
          <w:lang w:val="fr-FR"/>
        </w:rPr>
        <w:t>Dit</w:t>
      </w:r>
      <w:r w:rsidR="00863E96" w:rsidRPr="001F576E">
        <w:rPr>
          <w:lang w:val="fr-FR"/>
        </w:rPr>
        <w:t>,</w:t>
      </w:r>
    </w:p>
    <w:p w:rsidR="00E77CB3" w:rsidRPr="001F576E" w:rsidRDefault="00E77CB3" w:rsidP="00BE3C77">
      <w:pPr>
        <w:pStyle w:val="JuLista"/>
        <w:rPr>
          <w:lang w:val="fr-FR"/>
        </w:rPr>
      </w:pPr>
      <w:r w:rsidRPr="001F576E">
        <w:rPr>
          <w:lang w:val="fr-FR"/>
        </w:rPr>
        <w:t>a)  que l</w:t>
      </w:r>
      <w:r w:rsidR="00E91700">
        <w:rPr>
          <w:lang w:val="fr-FR"/>
        </w:rPr>
        <w:t>’</w:t>
      </w:r>
      <w:r w:rsidRPr="001F576E">
        <w:rPr>
          <w:lang w:val="fr-FR"/>
        </w:rPr>
        <w:t xml:space="preserve">État défendeur doit verser </w:t>
      </w:r>
      <w:r w:rsidR="00863E96" w:rsidRPr="001F576E">
        <w:rPr>
          <w:lang w:val="fr-FR"/>
        </w:rPr>
        <w:t>à la requérante</w:t>
      </w:r>
      <w:r w:rsidRPr="001F576E">
        <w:rPr>
          <w:lang w:val="fr-FR"/>
        </w:rPr>
        <w:t>, dans les trois mois</w:t>
      </w:r>
      <w:r w:rsidR="009A624F">
        <w:rPr>
          <w:lang w:val="fr-FR"/>
        </w:rPr>
        <w:t xml:space="preserve"> </w:t>
      </w:r>
      <w:r w:rsidR="00863E96" w:rsidRPr="001F576E">
        <w:rPr>
          <w:lang w:val="fr-FR"/>
        </w:rPr>
        <w:t>à compter du jour où l</w:t>
      </w:r>
      <w:r w:rsidR="00E91700">
        <w:rPr>
          <w:lang w:val="fr-FR"/>
        </w:rPr>
        <w:t>’</w:t>
      </w:r>
      <w:r w:rsidR="00863E96" w:rsidRPr="001F576E">
        <w:rPr>
          <w:lang w:val="fr-FR"/>
        </w:rPr>
        <w:t xml:space="preserve">arrêt sera devenu définitif </w:t>
      </w:r>
      <w:r w:rsidR="00600F74">
        <w:rPr>
          <w:lang w:val="fr-FR"/>
        </w:rPr>
        <w:t>en vertu de</w:t>
      </w:r>
      <w:r w:rsidR="00863E96" w:rsidRPr="001F576E">
        <w:rPr>
          <w:lang w:val="fr-FR"/>
        </w:rPr>
        <w:t xml:space="preserve"> l</w:t>
      </w:r>
      <w:r w:rsidR="00E91700">
        <w:rPr>
          <w:lang w:val="fr-FR"/>
        </w:rPr>
        <w:t>’</w:t>
      </w:r>
      <w:r w:rsidR="00863E96" w:rsidRPr="001F576E">
        <w:rPr>
          <w:lang w:val="fr-FR"/>
        </w:rPr>
        <w:t>article 44 § 2 de la Convention</w:t>
      </w:r>
      <w:r w:rsidR="00BE3C77">
        <w:rPr>
          <w:lang w:val="fr-FR"/>
        </w:rPr>
        <w:t>,</w:t>
      </w:r>
      <w:r w:rsidR="00BE3C77">
        <w:rPr>
          <w:lang w:val="fr-FR" w:eastAsia="en-GB"/>
        </w:rPr>
        <w:t xml:space="preserve"> </w:t>
      </w:r>
      <w:r w:rsidR="001A0C01">
        <w:rPr>
          <w:lang w:val="fr-FR" w:eastAsia="en-GB"/>
        </w:rPr>
        <w:t>32 000</w:t>
      </w:r>
      <w:r w:rsidRPr="001F576E">
        <w:rPr>
          <w:lang w:val="fr-FR" w:eastAsia="en-GB"/>
        </w:rPr>
        <w:t xml:space="preserve"> EUR (</w:t>
      </w:r>
      <w:r w:rsidR="001A0C01">
        <w:rPr>
          <w:lang w:val="fr-FR" w:eastAsia="en-GB"/>
        </w:rPr>
        <w:t>trente-deux mille</w:t>
      </w:r>
      <w:r w:rsidRPr="001F576E">
        <w:rPr>
          <w:lang w:val="fr-FR" w:eastAsia="en-GB"/>
        </w:rPr>
        <w:t xml:space="preserve"> euros), plus tout montant pouvant être dû à titre d</w:t>
      </w:r>
      <w:r w:rsidR="00E91700">
        <w:rPr>
          <w:lang w:val="fr-FR" w:eastAsia="en-GB"/>
        </w:rPr>
        <w:t>’</w:t>
      </w:r>
      <w:r w:rsidRPr="001F576E">
        <w:rPr>
          <w:lang w:val="fr-FR" w:eastAsia="en-GB"/>
        </w:rPr>
        <w:t>impôt,</w:t>
      </w:r>
      <w:r w:rsidR="001A0C01">
        <w:rPr>
          <w:lang w:val="fr-FR" w:eastAsia="en-GB"/>
        </w:rPr>
        <w:t xml:space="preserve"> pour dommage mora</w:t>
      </w:r>
      <w:r w:rsidRPr="001F576E">
        <w:rPr>
          <w:lang w:val="fr-FR" w:eastAsia="en-GB"/>
        </w:rPr>
        <w:t>l ;</w:t>
      </w:r>
    </w:p>
    <w:p w:rsidR="00E77CB3" w:rsidRPr="001F576E" w:rsidRDefault="00E77CB3" w:rsidP="00E77CB3">
      <w:pPr>
        <w:pStyle w:val="JuLista"/>
        <w:rPr>
          <w:lang w:val="fr-FR"/>
        </w:rPr>
      </w:pPr>
      <w:r w:rsidRPr="001F576E">
        <w:rPr>
          <w:lang w:val="fr-FR"/>
        </w:rPr>
        <w:t>b)  qu</w:t>
      </w:r>
      <w:r w:rsidR="00E91700">
        <w:rPr>
          <w:lang w:val="fr-FR"/>
        </w:rPr>
        <w:t>’</w:t>
      </w:r>
      <w:r w:rsidRPr="001F576E">
        <w:rPr>
          <w:lang w:val="fr-FR"/>
        </w:rPr>
        <w:t>à compter de l</w:t>
      </w:r>
      <w:r w:rsidR="00E91700">
        <w:rPr>
          <w:lang w:val="fr-FR"/>
        </w:rPr>
        <w:t>’</w:t>
      </w:r>
      <w:r w:rsidRPr="001F576E">
        <w:rPr>
          <w:lang w:val="fr-FR"/>
        </w:rPr>
        <w:t>expiration dudit délai et jusqu</w:t>
      </w:r>
      <w:r w:rsidR="00E91700">
        <w:rPr>
          <w:lang w:val="fr-FR"/>
        </w:rPr>
        <w:t>’</w:t>
      </w:r>
      <w:r w:rsidR="00BC17F4">
        <w:rPr>
          <w:lang w:val="fr-FR"/>
        </w:rPr>
        <w:t>au versement, ce montant sera</w:t>
      </w:r>
      <w:r w:rsidRPr="001F576E">
        <w:rPr>
          <w:lang w:val="fr-FR"/>
        </w:rPr>
        <w:t xml:space="preserve"> à majorer d</w:t>
      </w:r>
      <w:r w:rsidR="00E91700">
        <w:rPr>
          <w:lang w:val="fr-FR"/>
        </w:rPr>
        <w:t>’</w:t>
      </w:r>
      <w:r w:rsidRPr="001F576E">
        <w:rPr>
          <w:lang w:val="fr-FR"/>
        </w:rPr>
        <w:t>un intérêt simple à un taux égal à celui de la facilité de prêt marginal de la Banque centrale européenne applicable pendant cette période, augmenté de trois points de pourcentage ;</w:t>
      </w:r>
    </w:p>
    <w:p w:rsidR="00E77CB3" w:rsidRPr="001F576E" w:rsidRDefault="00E77CB3" w:rsidP="00E77CB3">
      <w:pPr>
        <w:pStyle w:val="JuLista"/>
        <w:rPr>
          <w:lang w:val="fr-FR"/>
        </w:rPr>
      </w:pPr>
    </w:p>
    <w:p w:rsidR="00E77CB3" w:rsidRPr="001F576E" w:rsidRDefault="001A0C01" w:rsidP="00E77CB3">
      <w:pPr>
        <w:pStyle w:val="JuList"/>
        <w:rPr>
          <w:lang w:val="fr-FR"/>
        </w:rPr>
      </w:pPr>
      <w:r>
        <w:rPr>
          <w:lang w:val="fr-FR"/>
        </w:rPr>
        <w:t>4</w:t>
      </w:r>
      <w:r w:rsidR="00E77CB3" w:rsidRPr="001F576E">
        <w:rPr>
          <w:lang w:val="fr-FR"/>
        </w:rPr>
        <w:t>.  </w:t>
      </w:r>
      <w:r w:rsidR="00E77CB3" w:rsidRPr="001F576E">
        <w:rPr>
          <w:i/>
          <w:lang w:val="fr-FR"/>
        </w:rPr>
        <w:t>Rejette</w:t>
      </w:r>
      <w:r w:rsidR="000C3695">
        <w:rPr>
          <w:lang w:val="fr-FR"/>
        </w:rPr>
        <w:t xml:space="preserve"> </w:t>
      </w:r>
      <w:r w:rsidR="00E77CB3" w:rsidRPr="001F576E">
        <w:rPr>
          <w:lang w:val="fr-FR"/>
        </w:rPr>
        <w:t>la demande de satisfaction équitable pour le surplus.</w:t>
      </w:r>
    </w:p>
    <w:p w:rsidR="00E77CB3" w:rsidRPr="001F576E" w:rsidRDefault="00E77CB3" w:rsidP="00E77CB3">
      <w:pPr>
        <w:pStyle w:val="JuParaLast"/>
        <w:rPr>
          <w:lang w:val="fr-FR"/>
        </w:rPr>
      </w:pPr>
      <w:r w:rsidRPr="001F576E">
        <w:rPr>
          <w:lang w:val="fr-FR"/>
        </w:rPr>
        <w:t>Fait en français, puis communiqué par écrit le </w:t>
      </w:r>
      <w:r w:rsidR="00D96C2D">
        <w:rPr>
          <w:lang w:val="fr-FR"/>
        </w:rPr>
        <w:t>13 octobre 2015</w:t>
      </w:r>
      <w:r w:rsidRPr="001F576E">
        <w:rPr>
          <w:lang w:val="fr-FR"/>
        </w:rPr>
        <w:t>, en application de l</w:t>
      </w:r>
      <w:r w:rsidR="00E91700">
        <w:rPr>
          <w:lang w:val="fr-FR"/>
        </w:rPr>
        <w:t>’</w:t>
      </w:r>
      <w:r w:rsidRPr="001F576E">
        <w:rPr>
          <w:lang w:val="fr-FR"/>
        </w:rPr>
        <w:t>article</w:t>
      </w:r>
      <w:r w:rsidR="005D0E24">
        <w:rPr>
          <w:lang w:val="fr-FR"/>
        </w:rPr>
        <w:t> </w:t>
      </w:r>
      <w:r w:rsidRPr="001F576E">
        <w:rPr>
          <w:lang w:val="fr-FR"/>
        </w:rPr>
        <w:t>77 §§</w:t>
      </w:r>
      <w:r w:rsidR="005D0E24">
        <w:rPr>
          <w:lang w:val="fr-FR"/>
        </w:rPr>
        <w:t> </w:t>
      </w:r>
      <w:r w:rsidRPr="001F576E">
        <w:rPr>
          <w:lang w:val="fr-FR"/>
        </w:rPr>
        <w:t>2 et 3 du règlement</w:t>
      </w:r>
      <w:r w:rsidR="00AC0824" w:rsidRPr="001F576E">
        <w:rPr>
          <w:lang w:val="fr-FR"/>
        </w:rPr>
        <w:t xml:space="preserve"> de la Cour</w:t>
      </w:r>
      <w:r w:rsidRPr="001F576E">
        <w:rPr>
          <w:lang w:val="fr-FR"/>
        </w:rPr>
        <w:t>.</w:t>
      </w:r>
    </w:p>
    <w:p w:rsidR="00BC17F4" w:rsidRPr="00640A8F" w:rsidRDefault="00BC17F4" w:rsidP="0096090F">
      <w:pPr>
        <w:pStyle w:val="JuSigned"/>
        <w:rPr>
          <w:lang w:val="fr-FR"/>
        </w:rPr>
      </w:pPr>
      <w:r w:rsidRPr="00640A8F">
        <w:rPr>
          <w:lang w:val="fr-FR"/>
        </w:rPr>
        <w:tab/>
      </w:r>
      <w:proofErr w:type="spellStart"/>
      <w:r w:rsidR="0096090F" w:rsidRPr="00640A8F">
        <w:rPr>
          <w:lang w:val="fr-FR"/>
        </w:rPr>
        <w:t>Fatoş</w:t>
      </w:r>
      <w:proofErr w:type="spellEnd"/>
      <w:r w:rsidR="0096090F" w:rsidRPr="00640A8F">
        <w:rPr>
          <w:lang w:val="fr-FR"/>
        </w:rPr>
        <w:t xml:space="preserve"> </w:t>
      </w:r>
      <w:proofErr w:type="spellStart"/>
      <w:r w:rsidR="0096090F" w:rsidRPr="00640A8F">
        <w:rPr>
          <w:lang w:val="fr-FR"/>
        </w:rPr>
        <w:t>Aracı</w:t>
      </w:r>
      <w:proofErr w:type="spellEnd"/>
      <w:r w:rsidR="0096090F" w:rsidRPr="00640A8F">
        <w:rPr>
          <w:lang w:val="fr-FR"/>
        </w:rPr>
        <w:tab/>
      </w:r>
      <w:proofErr w:type="spellStart"/>
      <w:r w:rsidRPr="00640A8F">
        <w:rPr>
          <w:lang w:val="fr-FR"/>
        </w:rPr>
        <w:t>Päivi</w:t>
      </w:r>
      <w:proofErr w:type="spellEnd"/>
      <w:r w:rsidRPr="00640A8F">
        <w:rPr>
          <w:lang w:val="fr-FR"/>
        </w:rPr>
        <w:t xml:space="preserve"> </w:t>
      </w:r>
      <w:proofErr w:type="spellStart"/>
      <w:r w:rsidRPr="00640A8F">
        <w:rPr>
          <w:lang w:val="fr-FR"/>
        </w:rPr>
        <w:t>Hirvelä</w:t>
      </w:r>
      <w:proofErr w:type="spellEnd"/>
      <w:r w:rsidRPr="00640A8F">
        <w:rPr>
          <w:lang w:val="fr-FR"/>
        </w:rPr>
        <w:br/>
      </w:r>
      <w:r w:rsidRPr="00640A8F">
        <w:rPr>
          <w:lang w:val="fr-FR"/>
        </w:rPr>
        <w:tab/>
        <w:t>Greffière adjointe</w:t>
      </w:r>
      <w:r w:rsidRPr="00640A8F">
        <w:rPr>
          <w:lang w:val="fr-FR"/>
        </w:rPr>
        <w:tab/>
        <w:t>Présidente</w:t>
      </w:r>
    </w:p>
    <w:p w:rsidR="004D15F3" w:rsidRPr="001F576E" w:rsidRDefault="004D15F3" w:rsidP="00C36408">
      <w:pPr>
        <w:rPr>
          <w:lang w:val="fr-FR"/>
        </w:rPr>
      </w:pPr>
    </w:p>
    <w:sectPr w:rsidR="004D15F3" w:rsidRPr="001F576E" w:rsidSect="001715D2">
      <w:headerReference w:type="even" r:id="rId17"/>
      <w:headerReference w:type="default" r:id="rId18"/>
      <w:pgSz w:w="11906" w:h="16838" w:code="9"/>
      <w:pgMar w:top="2274" w:right="2274" w:bottom="2274" w:left="2274" w:header="1701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661" w:rsidRDefault="002F2661" w:rsidP="00E77CB3">
      <w:r>
        <w:separator/>
      </w:r>
    </w:p>
  </w:endnote>
  <w:endnote w:type="continuationSeparator" w:id="0">
    <w:p w:rsidR="002F2661" w:rsidRDefault="002F2661" w:rsidP="00E77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 New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A8F" w:rsidRDefault="00640A8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A8F" w:rsidRDefault="00640A8F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A8F" w:rsidRPr="00150BFA" w:rsidRDefault="00640A8F" w:rsidP="00640A8F">
    <w:pPr>
      <w:jc w:val="center"/>
    </w:pPr>
    <w:r>
      <w:rPr>
        <w:noProof/>
        <w:lang w:val="it-IT" w:eastAsia="it-IT"/>
      </w:rPr>
      <w:drawing>
        <wp:inline distT="0" distB="0" distL="0" distR="0" wp14:anchorId="5A8B1133" wp14:editId="241FBD0D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0A8F" w:rsidRDefault="00640A8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661" w:rsidRDefault="002F2661" w:rsidP="00E77CB3">
      <w:r>
        <w:separator/>
      </w:r>
    </w:p>
  </w:footnote>
  <w:footnote w:type="continuationSeparator" w:id="0">
    <w:p w:rsidR="002F2661" w:rsidRDefault="002F2661" w:rsidP="00E77C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A8F" w:rsidRDefault="00640A8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A8F" w:rsidRPr="001715D2" w:rsidRDefault="00640A8F" w:rsidP="001715D2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A8F" w:rsidRPr="00A45145" w:rsidRDefault="00640A8F" w:rsidP="00640A8F">
    <w:pPr>
      <w:jc w:val="center"/>
    </w:pPr>
    <w:r>
      <w:rPr>
        <w:noProof/>
        <w:lang w:val="it-IT" w:eastAsia="it-IT"/>
      </w:rPr>
      <w:drawing>
        <wp:inline distT="0" distB="0" distL="0" distR="0" wp14:anchorId="31BC1ED2" wp14:editId="18F7191C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0A8F" w:rsidRDefault="00640A8F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A8F" w:rsidRPr="00DE593D" w:rsidRDefault="00640A8F" w:rsidP="00C611D8">
    <w:pPr>
      <w:pStyle w:val="ECHRHeader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966EC4">
      <w:rPr>
        <w:rStyle w:val="Numeropagina"/>
        <w:noProof/>
      </w:rPr>
      <w:t>14</w:t>
    </w:r>
    <w:r>
      <w:rPr>
        <w:rStyle w:val="Numeropagina"/>
      </w:rPr>
      <w:fldChar w:fldCharType="end"/>
    </w:r>
    <w:r w:rsidRPr="00DE593D">
      <w:rPr>
        <w:rStyle w:val="Numeropagina"/>
      </w:rPr>
      <w:tab/>
    </w:r>
    <w:r>
      <w:rPr>
        <w:noProof/>
        <w:lang w:val="en-GB"/>
      </w:rPr>
      <w:t>ARRÊT</w:t>
    </w:r>
    <w:r w:rsidRPr="00DE593D">
      <w:t xml:space="preserve"> </w:t>
    </w:r>
    <w:r>
      <w:t>S.H. c. ITALIE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A8F" w:rsidRPr="00DD5146" w:rsidRDefault="00640A8F" w:rsidP="00C63990">
    <w:pPr>
      <w:pStyle w:val="ECHRHeader"/>
    </w:pPr>
    <w:r w:rsidRPr="00C63990">
      <w:rPr>
        <w:lang w:val="fr-FR"/>
      </w:rPr>
      <w:tab/>
    </w:r>
    <w:r>
      <w:rPr>
        <w:noProof/>
        <w:lang w:val="en-GB"/>
      </w:rPr>
      <w:t>ARRÊT</w:t>
    </w:r>
    <w:r w:rsidRPr="00EB7E63">
      <w:rPr>
        <w:lang w:val="en-GB"/>
      </w:rPr>
      <w:t xml:space="preserve"> </w:t>
    </w:r>
    <w:r>
      <w:rPr>
        <w:lang w:val="en-GB"/>
      </w:rPr>
      <w:t>S.H. c. ITALIE</w:t>
    </w:r>
    <w:r w:rsidRPr="00EB7E63">
      <w:rPr>
        <w:lang w:val="en-GB"/>
      </w:rPr>
      <w:tab/>
    </w: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966EC4">
      <w:rPr>
        <w:rStyle w:val="Numeropagina"/>
        <w:noProof/>
      </w:rPr>
      <w:t>15</w:t>
    </w:r>
    <w:r>
      <w:rPr>
        <w:rStyle w:val="Numeropagina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0AA2222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C189B28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C4301E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7268F26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FA0A718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382924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68AD30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0501D42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DE43E0C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3AEA0B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E8750E"/>
    <w:multiLevelType w:val="multilevel"/>
    <w:tmpl w:val="040C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0A4A6C79"/>
    <w:multiLevelType w:val="multilevel"/>
    <w:tmpl w:val="2FC04DAE"/>
    <w:lvl w:ilvl="0">
      <w:start w:val="1"/>
      <w:numFmt w:val="upperRoman"/>
      <w:lvlText w:val="%1."/>
      <w:lvlJc w:val="left"/>
      <w:pPr>
        <w:ind w:left="346" w:hanging="34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851"/>
        </w:tabs>
        <w:ind w:left="346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851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758"/>
        </w:tabs>
        <w:ind w:left="1758" w:hanging="34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color w:val="0072BC" w:themeColor="background1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0B3A5857"/>
    <w:multiLevelType w:val="multilevel"/>
    <w:tmpl w:val="8BD6362E"/>
    <w:lvl w:ilvl="0">
      <w:start w:val="1"/>
      <w:numFmt w:val="upperRoman"/>
      <w:suff w:val="nothing"/>
      <w:lvlText w:val="%1.  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454" w:hanging="22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680" w:hanging="226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361" w:hanging="681"/>
      </w:pPr>
      <w:rPr>
        <w:rFonts w:hint="default"/>
      </w:rPr>
    </w:lvl>
    <w:lvl w:ilvl="4">
      <w:start w:val="1"/>
      <w:numFmt w:val="lowerRoman"/>
      <w:suff w:val="nothing"/>
      <w:lvlText w:val="(%5)  "/>
      <w:lvlJc w:val="left"/>
      <w:pPr>
        <w:ind w:left="1361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0DB92CFA"/>
    <w:multiLevelType w:val="hybridMultilevel"/>
    <w:tmpl w:val="513A807C"/>
    <w:lvl w:ilvl="0" w:tplc="EAA8F0C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B35A03"/>
    <w:multiLevelType w:val="multilevel"/>
    <w:tmpl w:val="BC84849E"/>
    <w:lvl w:ilvl="0">
      <w:start w:val="1"/>
      <w:numFmt w:val="lowerLetter"/>
      <w:suff w:val="nothing"/>
      <w:lvlText w:val="(%1)  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115053EB"/>
    <w:multiLevelType w:val="multilevel"/>
    <w:tmpl w:val="941CA410"/>
    <w:lvl w:ilvl="0">
      <w:start w:val="1"/>
      <w:numFmt w:val="upperRoman"/>
      <w:lvlText w:val="%1."/>
      <w:lvlJc w:val="left"/>
      <w:pPr>
        <w:ind w:left="346" w:hanging="34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851"/>
        </w:tabs>
        <w:ind w:left="346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851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suff w:val="nothing"/>
      <w:lvlText w:val="(%5)  "/>
      <w:lvlJc w:val="left"/>
      <w:pPr>
        <w:ind w:left="1191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19ED3C69"/>
    <w:multiLevelType w:val="multilevel"/>
    <w:tmpl w:val="FF7A8054"/>
    <w:lvl w:ilvl="0">
      <w:start w:val="1"/>
      <w:numFmt w:val="upperRoman"/>
      <w:lvlText w:val="%1."/>
      <w:lvlJc w:val="left"/>
      <w:pPr>
        <w:ind w:left="346" w:hanging="34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851"/>
        </w:tabs>
        <w:ind w:left="346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851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758"/>
        </w:tabs>
        <w:ind w:left="1758" w:hanging="340"/>
      </w:pPr>
      <w:rPr>
        <w:rFonts w:ascii="Symbol" w:hAnsi="Symbol" w:hint="default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1B3D29CF"/>
    <w:multiLevelType w:val="multilevel"/>
    <w:tmpl w:val="10F4A786"/>
    <w:lvl w:ilvl="0">
      <w:start w:val="1"/>
      <w:numFmt w:val="decimal"/>
      <w:suff w:val="nothing"/>
      <w:lvlText w:val="%1.  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suff w:val="nothing"/>
      <w:lvlText w:val="(%2)  "/>
      <w:lvlJc w:val="left"/>
      <w:pPr>
        <w:ind w:left="284" w:firstLine="0"/>
      </w:pPr>
      <w:rPr>
        <w:rFonts w:hint="default"/>
      </w:rPr>
    </w:lvl>
    <w:lvl w:ilvl="2">
      <w:start w:val="1"/>
      <w:numFmt w:val="lowerRoman"/>
      <w:suff w:val="nothing"/>
      <w:lvlText w:val="(%3)  "/>
      <w:lvlJc w:val="left"/>
      <w:pPr>
        <w:ind w:left="680" w:firstLine="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20324D93"/>
    <w:multiLevelType w:val="hybridMultilevel"/>
    <w:tmpl w:val="F7D68528"/>
    <w:lvl w:ilvl="0" w:tplc="569ADE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777587"/>
    <w:multiLevelType w:val="multilevel"/>
    <w:tmpl w:val="49549606"/>
    <w:lvl w:ilvl="0">
      <w:start w:val="1"/>
      <w:numFmt w:val="upperRoman"/>
      <w:lvlText w:val="%1."/>
      <w:lvlJc w:val="left"/>
      <w:pPr>
        <w:ind w:left="346" w:hanging="34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851"/>
        </w:tabs>
        <w:ind w:left="346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851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758"/>
        </w:tabs>
        <w:ind w:left="1758" w:hanging="340"/>
      </w:pPr>
      <w:rPr>
        <w:rFonts w:ascii="Symbol" w:hAnsi="Symbol" w:hint="default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258756B5"/>
    <w:multiLevelType w:val="multilevel"/>
    <w:tmpl w:val="F8A68542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063F06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29AB3FB9"/>
    <w:multiLevelType w:val="multilevel"/>
    <w:tmpl w:val="7A6AC2C8"/>
    <w:lvl w:ilvl="0">
      <w:start w:val="1"/>
      <w:numFmt w:val="upperRoman"/>
      <w:lvlText w:val="%1."/>
      <w:lvlJc w:val="left"/>
      <w:pPr>
        <w:ind w:left="346" w:hanging="34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851"/>
        </w:tabs>
        <w:ind w:left="346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851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upperRoman"/>
      <w:lvlText w:val="%7"/>
      <w:lvlJc w:val="left"/>
      <w:pPr>
        <w:tabs>
          <w:tab w:val="num" w:pos="1985"/>
        </w:tabs>
        <w:ind w:left="1985" w:hanging="227"/>
      </w:pPr>
      <w:rPr>
        <w:rFonts w:ascii="Symbol" w:hAnsi="Symbol" w:hint="default"/>
        <w:strike w:val="0"/>
        <w:dstrike w:val="0"/>
        <w:color w:val="auto"/>
        <w:sz w:val="28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2B9959AD"/>
    <w:multiLevelType w:val="multilevel"/>
    <w:tmpl w:val="E102B54A"/>
    <w:lvl w:ilvl="0">
      <w:start w:val="1"/>
      <w:numFmt w:val="upperRoman"/>
      <w:lvlText w:val="%1."/>
      <w:lvlJc w:val="left"/>
      <w:pPr>
        <w:ind w:left="346" w:hanging="34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851"/>
        </w:tabs>
        <w:ind w:left="346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851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758"/>
        </w:tabs>
        <w:ind w:left="1758" w:hanging="340"/>
      </w:pPr>
      <w:rPr>
        <w:rFonts w:ascii="Symbol" w:hAnsi="Symbol" w:hint="default"/>
      </w:rPr>
    </w:lvl>
    <w:lvl w:ilvl="6">
      <w:start w:val="1"/>
      <w:numFmt w:val="lowerRoman"/>
      <w:lvlText w:val="%7"/>
      <w:lvlJc w:val="left"/>
      <w:pPr>
        <w:ind w:left="2520" w:hanging="360"/>
      </w:pPr>
      <w:rPr>
        <w:rFonts w:hint="default"/>
        <w:color w:val="0072BC" w:themeColor="background1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30B42C89"/>
    <w:multiLevelType w:val="hybridMultilevel"/>
    <w:tmpl w:val="CFB02226"/>
    <w:lvl w:ilvl="0" w:tplc="52584F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134506C"/>
    <w:multiLevelType w:val="multilevel"/>
    <w:tmpl w:val="F288E2FE"/>
    <w:lvl w:ilvl="0">
      <w:start w:val="1"/>
      <w:numFmt w:val="upperRoman"/>
      <w:lvlText w:val="%1."/>
      <w:lvlJc w:val="left"/>
      <w:pPr>
        <w:ind w:left="346" w:hanging="34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851"/>
        </w:tabs>
        <w:ind w:left="346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851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374D47F6"/>
    <w:multiLevelType w:val="multilevel"/>
    <w:tmpl w:val="29C02C80"/>
    <w:lvl w:ilvl="0">
      <w:start w:val="1"/>
      <w:numFmt w:val="decimal"/>
      <w:lvlText w:val="%1."/>
      <w:lvlJc w:val="left"/>
      <w:pPr>
        <w:ind w:left="346" w:hanging="346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851"/>
        </w:tabs>
        <w:ind w:left="346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361"/>
        </w:tabs>
        <w:ind w:left="851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388D47DE"/>
    <w:multiLevelType w:val="multilevel"/>
    <w:tmpl w:val="F7F2C62E"/>
    <w:lvl w:ilvl="0">
      <w:start w:val="1"/>
      <w:numFmt w:val="decimal"/>
      <w:lvlText w:val="%1."/>
      <w:lvlJc w:val="left"/>
      <w:pPr>
        <w:ind w:left="1021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3E85438D"/>
    <w:multiLevelType w:val="multilevel"/>
    <w:tmpl w:val="73BC578A"/>
    <w:lvl w:ilvl="0">
      <w:start w:val="1"/>
      <w:numFmt w:val="upperRoman"/>
      <w:suff w:val="nothing"/>
      <w:lvlText w:val="%1.  "/>
      <w:lvlJc w:val="left"/>
      <w:pPr>
        <w:ind w:left="227" w:hanging="227"/>
      </w:pPr>
      <w:rPr>
        <w:rFonts w:hint="default"/>
      </w:rPr>
    </w:lvl>
    <w:lvl w:ilvl="1">
      <w:start w:val="1"/>
      <w:numFmt w:val="upperLetter"/>
      <w:suff w:val="nothing"/>
      <w:lvlText w:val="%2.  "/>
      <w:lvlJc w:val="left"/>
      <w:pPr>
        <w:ind w:left="510" w:hanging="283"/>
      </w:pPr>
      <w:rPr>
        <w:rFonts w:hint="default"/>
      </w:rPr>
    </w:lvl>
    <w:lvl w:ilvl="2">
      <w:start w:val="1"/>
      <w:numFmt w:val="decimal"/>
      <w:suff w:val="nothing"/>
      <w:lvlText w:val="%3.  "/>
      <w:lvlJc w:val="left"/>
      <w:pPr>
        <w:ind w:left="794" w:hanging="284"/>
      </w:pPr>
      <w:rPr>
        <w:rFonts w:hint="default"/>
      </w:rPr>
    </w:lvl>
    <w:lvl w:ilvl="3">
      <w:start w:val="1"/>
      <w:numFmt w:val="lowerLetter"/>
      <w:suff w:val="nothing"/>
      <w:lvlText w:val="(%4)  "/>
      <w:lvlJc w:val="left"/>
      <w:pPr>
        <w:ind w:left="1077" w:hanging="283"/>
      </w:pPr>
      <w:rPr>
        <w:rFonts w:hint="default"/>
      </w:rPr>
    </w:lvl>
    <w:lvl w:ilvl="4">
      <w:start w:val="1"/>
      <w:numFmt w:val="lowerRoman"/>
      <w:lvlText w:val="(%5)  "/>
      <w:lvlJc w:val="left"/>
      <w:pPr>
        <w:ind w:left="1304" w:hanging="227"/>
      </w:pPr>
      <w:rPr>
        <w:rFonts w:hint="default"/>
      </w:rPr>
    </w:lvl>
    <w:lvl w:ilvl="5">
      <w:start w:val="1"/>
      <w:numFmt w:val="lowerLetter"/>
      <w:suff w:val="nothing"/>
      <w:lvlText w:val="(%6  "/>
      <w:lvlJc w:val="left"/>
      <w:pPr>
        <w:ind w:left="1644" w:hanging="340"/>
      </w:pPr>
      <w:rPr>
        <w:rFonts w:ascii="Symbol" w:hAnsi="Symbol" w:hint="default"/>
      </w:rPr>
    </w:lvl>
    <w:lvl w:ilvl="6">
      <w:start w:val="1"/>
      <w:numFmt w:val="bullet"/>
      <w:suff w:val="space"/>
      <w:lvlText w:val=""/>
      <w:lvlJc w:val="left"/>
      <w:pPr>
        <w:ind w:left="1814" w:hanging="170"/>
      </w:pPr>
      <w:rPr>
        <w:rFonts w:ascii="Symbol" w:hAnsi="Symbol" w:hint="default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413377FF"/>
    <w:multiLevelType w:val="multilevel"/>
    <w:tmpl w:val="EDC8B6AA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44E25784"/>
    <w:multiLevelType w:val="multilevel"/>
    <w:tmpl w:val="165083BE"/>
    <w:lvl w:ilvl="0">
      <w:start w:val="1"/>
      <w:numFmt w:val="decimal"/>
      <w:suff w:val="nothing"/>
      <w:lvlText w:val="%1.  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suff w:val="nothing"/>
      <w:lvlText w:val="(%2)  "/>
      <w:lvlJc w:val="left"/>
      <w:pPr>
        <w:ind w:left="284" w:firstLine="0"/>
      </w:pPr>
      <w:rPr>
        <w:rFonts w:hint="default"/>
      </w:rPr>
    </w:lvl>
    <w:lvl w:ilvl="2">
      <w:start w:val="1"/>
      <w:numFmt w:val="lowerRoman"/>
      <w:suff w:val="nothing"/>
      <w:lvlText w:val="(%3)  "/>
      <w:lvlJc w:val="left"/>
      <w:pPr>
        <w:ind w:left="68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460B61A5"/>
    <w:multiLevelType w:val="multilevel"/>
    <w:tmpl w:val="11FA262C"/>
    <w:lvl w:ilvl="0">
      <w:start w:val="1"/>
      <w:numFmt w:val="upperRoman"/>
      <w:lvlText w:val="%1."/>
      <w:lvlJc w:val="left"/>
      <w:pPr>
        <w:ind w:left="346" w:hanging="34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851"/>
        </w:tabs>
        <w:ind w:left="346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851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758"/>
        </w:tabs>
        <w:ind w:left="1758" w:hanging="340"/>
      </w:pPr>
      <w:rPr>
        <w:rFonts w:ascii="Symbol" w:hAnsi="Symbol" w:hint="default"/>
      </w:rPr>
    </w:lvl>
    <w:lvl w:ilvl="6">
      <w:start w:val="1"/>
      <w:numFmt w:val="lowerRoman"/>
      <w:lvlText w:val="%7"/>
      <w:lvlJc w:val="left"/>
      <w:pPr>
        <w:ind w:left="2520" w:hanging="360"/>
      </w:pPr>
      <w:rPr>
        <w:rFonts w:ascii="Wingdings 3" w:hAnsi="Wingdings 3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462F4708"/>
    <w:multiLevelType w:val="multilevel"/>
    <w:tmpl w:val="8BD6362E"/>
    <w:lvl w:ilvl="0">
      <w:start w:val="1"/>
      <w:numFmt w:val="upperRoman"/>
      <w:suff w:val="nothing"/>
      <w:lvlText w:val="%1.  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454" w:hanging="22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680" w:hanging="226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361" w:hanging="681"/>
      </w:pPr>
      <w:rPr>
        <w:rFonts w:hint="default"/>
      </w:rPr>
    </w:lvl>
    <w:lvl w:ilvl="4">
      <w:start w:val="1"/>
      <w:numFmt w:val="lowerRoman"/>
      <w:suff w:val="nothing"/>
      <w:lvlText w:val="(%5)  "/>
      <w:lvlJc w:val="left"/>
      <w:pPr>
        <w:ind w:left="1361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>
    <w:nsid w:val="4D1F59D2"/>
    <w:multiLevelType w:val="hybridMultilevel"/>
    <w:tmpl w:val="4582FBFC"/>
    <w:lvl w:ilvl="0" w:tplc="0D90B7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A02EFE"/>
    <w:multiLevelType w:val="multilevel"/>
    <w:tmpl w:val="F42CEE52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680"/>
        </w:tabs>
        <w:ind w:left="284" w:firstLine="0"/>
      </w:pPr>
      <w:rPr>
        <w:rFonts w:hint="default"/>
      </w:rPr>
    </w:lvl>
    <w:lvl w:ilvl="2">
      <w:start w:val="1"/>
      <w:numFmt w:val="lowerRoman"/>
      <w:suff w:val="nothing"/>
      <w:lvlText w:val="(%3)  "/>
      <w:lvlJc w:val="left"/>
      <w:pPr>
        <w:ind w:left="680" w:firstLine="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nsid w:val="4E8C0CF9"/>
    <w:multiLevelType w:val="multilevel"/>
    <w:tmpl w:val="090EC1BE"/>
    <w:lvl w:ilvl="0">
      <w:start w:val="1"/>
      <w:numFmt w:val="upperRoman"/>
      <w:lvlText w:val="%1."/>
      <w:lvlJc w:val="left"/>
      <w:pPr>
        <w:ind w:left="346" w:hanging="346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>
    <w:nsid w:val="506B6FCB"/>
    <w:multiLevelType w:val="multilevel"/>
    <w:tmpl w:val="067E4BA6"/>
    <w:lvl w:ilvl="0">
      <w:start w:val="1"/>
      <w:numFmt w:val="upperRoman"/>
      <w:lvlText w:val="%1."/>
      <w:lvlJc w:val="left"/>
      <w:pPr>
        <w:ind w:left="346" w:hanging="34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851"/>
        </w:tabs>
        <w:ind w:left="346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>
    <w:nsid w:val="52FB1EA6"/>
    <w:multiLevelType w:val="multilevel"/>
    <w:tmpl w:val="B1545D7A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680"/>
        </w:tabs>
        <w:ind w:left="34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>
    <w:nsid w:val="54812F33"/>
    <w:multiLevelType w:val="multilevel"/>
    <w:tmpl w:val="CD6E7908"/>
    <w:lvl w:ilvl="0">
      <w:start w:val="1"/>
      <w:numFmt w:val="upperRoman"/>
      <w:lvlText w:val="%1."/>
      <w:lvlJc w:val="left"/>
      <w:pPr>
        <w:ind w:left="346" w:hanging="34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851"/>
        </w:tabs>
        <w:ind w:left="346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851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none"/>
      <w:lvlText w:val="%7–"/>
      <w:lvlJc w:val="left"/>
      <w:pPr>
        <w:tabs>
          <w:tab w:val="num" w:pos="1985"/>
        </w:tabs>
        <w:ind w:left="1985" w:hanging="227"/>
      </w:pPr>
      <w:rPr>
        <w:rFonts w:asciiTheme="majorHAnsi" w:hAnsiTheme="majorHAnsi" w:hint="default"/>
        <w:color w:val="000000" w:themeColor="text1"/>
        <w:sz w:val="28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asciiTheme="majorHAnsi" w:hAnsiTheme="majorHAnsi" w:hint="default"/>
        <w:strike w:val="0"/>
        <w:dstrike w:val="0"/>
        <w:color w:val="000000" w:themeColor="text1"/>
        <w:sz w:val="28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>
    <w:nsid w:val="5A7B5D2C"/>
    <w:multiLevelType w:val="multilevel"/>
    <w:tmpl w:val="0A7CB2D0"/>
    <w:lvl w:ilvl="0">
      <w:start w:val="1"/>
      <w:numFmt w:val="upperRoman"/>
      <w:lvlText w:val="%1."/>
      <w:lvlJc w:val="left"/>
      <w:pPr>
        <w:ind w:left="346" w:hanging="34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851"/>
        </w:tabs>
        <w:ind w:left="346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851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758"/>
        </w:tabs>
        <w:ind w:left="1758" w:hanging="340"/>
      </w:pPr>
      <w:rPr>
        <w:rFonts w:ascii="Symbol" w:hAnsi="Symbol" w:hint="default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>
    <w:nsid w:val="61FE1C04"/>
    <w:multiLevelType w:val="multilevel"/>
    <w:tmpl w:val="BEDA27C0"/>
    <w:lvl w:ilvl="0">
      <w:start w:val="1"/>
      <w:numFmt w:val="upperRoman"/>
      <w:suff w:val="nothing"/>
      <w:lvlText w:val="%1.  "/>
      <w:lvlJc w:val="left"/>
      <w:pPr>
        <w:ind w:left="227" w:hanging="227"/>
      </w:pPr>
      <w:rPr>
        <w:rFonts w:hint="default"/>
      </w:rPr>
    </w:lvl>
    <w:lvl w:ilvl="1">
      <w:start w:val="1"/>
      <w:numFmt w:val="upperLetter"/>
      <w:suff w:val="nothing"/>
      <w:lvlText w:val="%2.  "/>
      <w:lvlJc w:val="left"/>
      <w:pPr>
        <w:ind w:left="510" w:hanging="283"/>
      </w:pPr>
      <w:rPr>
        <w:rFonts w:hint="default"/>
      </w:rPr>
    </w:lvl>
    <w:lvl w:ilvl="2">
      <w:start w:val="1"/>
      <w:numFmt w:val="decimal"/>
      <w:suff w:val="nothing"/>
      <w:lvlText w:val="%3.  "/>
      <w:lvlJc w:val="left"/>
      <w:pPr>
        <w:ind w:left="794" w:hanging="284"/>
      </w:pPr>
      <w:rPr>
        <w:rFonts w:hint="default"/>
      </w:rPr>
    </w:lvl>
    <w:lvl w:ilvl="3">
      <w:start w:val="1"/>
      <w:numFmt w:val="lowerLetter"/>
      <w:suff w:val="nothing"/>
      <w:lvlText w:val="(%4)  "/>
      <w:lvlJc w:val="left"/>
      <w:pPr>
        <w:ind w:left="1077" w:hanging="283"/>
      </w:pPr>
      <w:rPr>
        <w:rFonts w:hint="default"/>
      </w:rPr>
    </w:lvl>
    <w:lvl w:ilvl="4">
      <w:start w:val="1"/>
      <w:numFmt w:val="lowerRoman"/>
      <w:suff w:val="nothing"/>
      <w:lvlText w:val="(%5)  "/>
      <w:lvlJc w:val="left"/>
      <w:pPr>
        <w:ind w:left="1304" w:hanging="227"/>
      </w:pPr>
      <w:rPr>
        <w:rFonts w:hint="default"/>
      </w:rPr>
    </w:lvl>
    <w:lvl w:ilvl="5">
      <w:start w:val="1"/>
      <w:numFmt w:val="lowerLetter"/>
      <w:suff w:val="nothing"/>
      <w:lvlText w:val="(%6)  "/>
      <w:lvlJc w:val="left"/>
      <w:pPr>
        <w:ind w:left="1644" w:hanging="34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1814" w:hanging="170"/>
      </w:pPr>
      <w:rPr>
        <w:rFonts w:ascii="Symbol" w:hAnsi="Symbol" w:hint="default"/>
        <w:color w:val="000000" w:themeColor="text1"/>
      </w:rPr>
    </w:lvl>
    <w:lvl w:ilvl="7">
      <w:start w:val="1"/>
      <w:numFmt w:val="bullet"/>
      <w:lvlText w:val=""/>
      <w:lvlJc w:val="left"/>
      <w:pPr>
        <w:ind w:left="1985" w:hanging="171"/>
      </w:pPr>
      <w:rPr>
        <w:rFonts w:ascii="Wingdings" w:hAnsi="Wingdings" w:hint="default"/>
        <w:color w:val="000000" w:themeColor="text1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>
    <w:nsid w:val="65D7306C"/>
    <w:multiLevelType w:val="multilevel"/>
    <w:tmpl w:val="040C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2">
    <w:nsid w:val="66FD4624"/>
    <w:multiLevelType w:val="hybridMultilevel"/>
    <w:tmpl w:val="F8A68542"/>
    <w:lvl w:ilvl="0" w:tplc="7CD2FB6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797CA4"/>
    <w:multiLevelType w:val="multilevel"/>
    <w:tmpl w:val="A1CE0A34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680"/>
        </w:tabs>
        <w:ind w:left="340" w:firstLine="0"/>
      </w:pPr>
      <w:rPr>
        <w:rFonts w:hint="default"/>
      </w:rPr>
    </w:lvl>
    <w:lvl w:ilvl="2">
      <w:start w:val="1"/>
      <w:numFmt w:val="lowerRoman"/>
      <w:suff w:val="nothing"/>
      <w:lvlText w:val="(%3)  "/>
      <w:lvlJc w:val="left"/>
      <w:pPr>
        <w:ind w:left="68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>
    <w:nsid w:val="74DD17BC"/>
    <w:multiLevelType w:val="multilevel"/>
    <w:tmpl w:val="EC58AD9E"/>
    <w:lvl w:ilvl="0">
      <w:start w:val="1"/>
      <w:numFmt w:val="upperRoman"/>
      <w:lvlText w:val="%1."/>
      <w:lvlJc w:val="left"/>
      <w:pPr>
        <w:ind w:left="346" w:hanging="34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851"/>
        </w:tabs>
        <w:ind w:left="346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851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lowerRoman"/>
      <w:lvlText w:val="%7"/>
      <w:lvlJc w:val="left"/>
      <w:pPr>
        <w:tabs>
          <w:tab w:val="num" w:pos="1985"/>
        </w:tabs>
        <w:ind w:left="1985" w:hanging="227"/>
      </w:pPr>
      <w:rPr>
        <w:rFonts w:asciiTheme="minorHAnsi" w:hAnsiTheme="minorHAnsi" w:hint="default"/>
        <w:strike w:val="0"/>
        <w:dstrike w:val="0"/>
        <w:color w:val="auto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9"/>
  </w:num>
  <w:num w:numId="2">
    <w:abstractNumId w:val="21"/>
  </w:num>
  <w:num w:numId="3">
    <w:abstractNumId w:val="10"/>
  </w:num>
  <w:num w:numId="4">
    <w:abstractNumId w:val="41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2"/>
  </w:num>
  <w:num w:numId="15">
    <w:abstractNumId w:val="26"/>
  </w:num>
  <w:num w:numId="16">
    <w:abstractNumId w:val="45"/>
  </w:num>
  <w:num w:numId="17">
    <w:abstractNumId w:val="40"/>
  </w:num>
  <w:num w:numId="18">
    <w:abstractNumId w:val="35"/>
  </w:num>
  <w:num w:numId="19">
    <w:abstractNumId w:val="36"/>
  </w:num>
  <w:num w:numId="20">
    <w:abstractNumId w:val="25"/>
  </w:num>
  <w:num w:numId="21">
    <w:abstractNumId w:val="15"/>
  </w:num>
  <w:num w:numId="22">
    <w:abstractNumId w:val="19"/>
  </w:num>
  <w:num w:numId="23">
    <w:abstractNumId w:val="38"/>
  </w:num>
  <w:num w:numId="24">
    <w:abstractNumId w:val="34"/>
  </w:num>
  <w:num w:numId="25">
    <w:abstractNumId w:val="37"/>
  </w:num>
  <w:num w:numId="26">
    <w:abstractNumId w:val="43"/>
  </w:num>
  <w:num w:numId="27">
    <w:abstractNumId w:val="23"/>
  </w:num>
  <w:num w:numId="28">
    <w:abstractNumId w:val="11"/>
  </w:num>
  <w:num w:numId="29">
    <w:abstractNumId w:val="31"/>
  </w:num>
  <w:num w:numId="30">
    <w:abstractNumId w:val="16"/>
  </w:num>
  <w:num w:numId="31">
    <w:abstractNumId w:val="39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4"/>
  </w:num>
  <w:num w:numId="34">
    <w:abstractNumId w:val="12"/>
  </w:num>
  <w:num w:numId="35">
    <w:abstractNumId w:val="32"/>
  </w:num>
  <w:num w:numId="36">
    <w:abstractNumId w:val="28"/>
  </w:num>
  <w:num w:numId="37">
    <w:abstractNumId w:val="29"/>
  </w:num>
  <w:num w:numId="38">
    <w:abstractNumId w:val="14"/>
  </w:num>
  <w:num w:numId="3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</w:num>
  <w:num w:numId="41">
    <w:abstractNumId w:val="13"/>
  </w:num>
  <w:num w:numId="42">
    <w:abstractNumId w:val="24"/>
  </w:num>
  <w:num w:numId="43">
    <w:abstractNumId w:val="33"/>
  </w:num>
  <w:num w:numId="44">
    <w:abstractNumId w:val="30"/>
  </w:num>
  <w:num w:numId="45">
    <w:abstractNumId w:val="27"/>
  </w:num>
  <w:num w:numId="46">
    <w:abstractNumId w:val="42"/>
  </w:num>
  <w:num w:numId="47">
    <w:abstractNumId w:val="20"/>
  </w:num>
  <w:num w:numId="4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NatAutre" w:val="0"/>
    <w:docVar w:name="DocVarPREMATURE" w:val="0"/>
    <w:docVar w:name="EMM" w:val="0"/>
    <w:docVar w:name="ETRANSMISSION" w:val="PAR VOIE ÉLECTRONIQUE UNIQUEMENT"/>
    <w:docVar w:name="L4_1Annex" w:val="0"/>
    <w:docVar w:name="L4_1Anonymity" w:val="0"/>
    <w:docVar w:name="NBEMMDOC" w:val="0"/>
    <w:docVar w:name="SignForeName" w:val="0"/>
  </w:docVars>
  <w:rsids>
    <w:rsidRoot w:val="00863E96"/>
    <w:rsid w:val="000041F8"/>
    <w:rsid w:val="000042A8"/>
    <w:rsid w:val="00004308"/>
    <w:rsid w:val="00005BF0"/>
    <w:rsid w:val="00007154"/>
    <w:rsid w:val="000103AE"/>
    <w:rsid w:val="00010BEB"/>
    <w:rsid w:val="00011D69"/>
    <w:rsid w:val="00012AD3"/>
    <w:rsid w:val="00015C2D"/>
    <w:rsid w:val="00015F00"/>
    <w:rsid w:val="00022C1D"/>
    <w:rsid w:val="00025CD4"/>
    <w:rsid w:val="00034987"/>
    <w:rsid w:val="00041562"/>
    <w:rsid w:val="000421B5"/>
    <w:rsid w:val="00042442"/>
    <w:rsid w:val="00046685"/>
    <w:rsid w:val="0005200B"/>
    <w:rsid w:val="00057ED7"/>
    <w:rsid w:val="000602DF"/>
    <w:rsid w:val="00060A3B"/>
    <w:rsid w:val="00061B05"/>
    <w:rsid w:val="000632D5"/>
    <w:rsid w:val="000644EE"/>
    <w:rsid w:val="00066A71"/>
    <w:rsid w:val="00076F0F"/>
    <w:rsid w:val="0008092E"/>
    <w:rsid w:val="0009223F"/>
    <w:rsid w:val="000925AD"/>
    <w:rsid w:val="00093838"/>
    <w:rsid w:val="00095EBB"/>
    <w:rsid w:val="000A2394"/>
    <w:rsid w:val="000A24EB"/>
    <w:rsid w:val="000A5ED9"/>
    <w:rsid w:val="000B660E"/>
    <w:rsid w:val="000B6923"/>
    <w:rsid w:val="000C1641"/>
    <w:rsid w:val="000C3695"/>
    <w:rsid w:val="000C4594"/>
    <w:rsid w:val="000C5F3C"/>
    <w:rsid w:val="000C6DCC"/>
    <w:rsid w:val="000D47AA"/>
    <w:rsid w:val="000D721F"/>
    <w:rsid w:val="000E069B"/>
    <w:rsid w:val="000E0768"/>
    <w:rsid w:val="000E0E82"/>
    <w:rsid w:val="000E1DC5"/>
    <w:rsid w:val="000E223F"/>
    <w:rsid w:val="000E4DBA"/>
    <w:rsid w:val="000E7792"/>
    <w:rsid w:val="000E7D45"/>
    <w:rsid w:val="000F00EF"/>
    <w:rsid w:val="000F6550"/>
    <w:rsid w:val="000F7851"/>
    <w:rsid w:val="00103FAB"/>
    <w:rsid w:val="00104E23"/>
    <w:rsid w:val="00111B0C"/>
    <w:rsid w:val="00120D6C"/>
    <w:rsid w:val="001257EC"/>
    <w:rsid w:val="00133D33"/>
    <w:rsid w:val="00134D64"/>
    <w:rsid w:val="00135A30"/>
    <w:rsid w:val="0013612C"/>
    <w:rsid w:val="00137FF6"/>
    <w:rsid w:val="00141650"/>
    <w:rsid w:val="0014493A"/>
    <w:rsid w:val="00147130"/>
    <w:rsid w:val="0016174F"/>
    <w:rsid w:val="00162A12"/>
    <w:rsid w:val="00166530"/>
    <w:rsid w:val="001667E8"/>
    <w:rsid w:val="00170A88"/>
    <w:rsid w:val="001715D2"/>
    <w:rsid w:val="00171C7B"/>
    <w:rsid w:val="001832BD"/>
    <w:rsid w:val="00190565"/>
    <w:rsid w:val="001943B5"/>
    <w:rsid w:val="00195134"/>
    <w:rsid w:val="001979A0"/>
    <w:rsid w:val="001A0C01"/>
    <w:rsid w:val="001A145B"/>
    <w:rsid w:val="001A674C"/>
    <w:rsid w:val="001B3B24"/>
    <w:rsid w:val="001C0F98"/>
    <w:rsid w:val="001C2A42"/>
    <w:rsid w:val="001D1650"/>
    <w:rsid w:val="001D237E"/>
    <w:rsid w:val="001D63ED"/>
    <w:rsid w:val="001D7348"/>
    <w:rsid w:val="001E035B"/>
    <w:rsid w:val="001E0961"/>
    <w:rsid w:val="001E3929"/>
    <w:rsid w:val="001E3EAE"/>
    <w:rsid w:val="001E615E"/>
    <w:rsid w:val="001E63AF"/>
    <w:rsid w:val="001E6F32"/>
    <w:rsid w:val="001F2145"/>
    <w:rsid w:val="001F576E"/>
    <w:rsid w:val="001F6262"/>
    <w:rsid w:val="001F67B0"/>
    <w:rsid w:val="001F7B3D"/>
    <w:rsid w:val="00205F9F"/>
    <w:rsid w:val="00210338"/>
    <w:rsid w:val="00211287"/>
    <w:rsid w:val="002115FC"/>
    <w:rsid w:val="0021423C"/>
    <w:rsid w:val="00214AE5"/>
    <w:rsid w:val="00217F67"/>
    <w:rsid w:val="00223969"/>
    <w:rsid w:val="00230D00"/>
    <w:rsid w:val="00230F89"/>
    <w:rsid w:val="00231183"/>
    <w:rsid w:val="00231A17"/>
    <w:rsid w:val="00231DF7"/>
    <w:rsid w:val="00231FD1"/>
    <w:rsid w:val="002339E0"/>
    <w:rsid w:val="00233CF8"/>
    <w:rsid w:val="0023575D"/>
    <w:rsid w:val="00237148"/>
    <w:rsid w:val="002408DC"/>
    <w:rsid w:val="00241317"/>
    <w:rsid w:val="0024222D"/>
    <w:rsid w:val="00244B0E"/>
    <w:rsid w:val="00244F6C"/>
    <w:rsid w:val="0024695E"/>
    <w:rsid w:val="002512B8"/>
    <w:rsid w:val="002532C5"/>
    <w:rsid w:val="00260C03"/>
    <w:rsid w:val="0026540E"/>
    <w:rsid w:val="002665DA"/>
    <w:rsid w:val="002716E5"/>
    <w:rsid w:val="00275123"/>
    <w:rsid w:val="00276673"/>
    <w:rsid w:val="00282190"/>
    <w:rsid w:val="00282240"/>
    <w:rsid w:val="002948AD"/>
    <w:rsid w:val="00295BEB"/>
    <w:rsid w:val="002A01CC"/>
    <w:rsid w:val="002A26AA"/>
    <w:rsid w:val="002A4462"/>
    <w:rsid w:val="002A50B4"/>
    <w:rsid w:val="002A61B1"/>
    <w:rsid w:val="002A663C"/>
    <w:rsid w:val="002A7703"/>
    <w:rsid w:val="002B100D"/>
    <w:rsid w:val="002B444B"/>
    <w:rsid w:val="002B4636"/>
    <w:rsid w:val="002B5887"/>
    <w:rsid w:val="002C0E27"/>
    <w:rsid w:val="002C3040"/>
    <w:rsid w:val="002C38DA"/>
    <w:rsid w:val="002C614B"/>
    <w:rsid w:val="002D022D"/>
    <w:rsid w:val="002D24BB"/>
    <w:rsid w:val="002D37D2"/>
    <w:rsid w:val="002D6D16"/>
    <w:rsid w:val="002E02CB"/>
    <w:rsid w:val="002F2661"/>
    <w:rsid w:val="002F2AF7"/>
    <w:rsid w:val="002F3FF5"/>
    <w:rsid w:val="002F7E1C"/>
    <w:rsid w:val="00301A75"/>
    <w:rsid w:val="00302F70"/>
    <w:rsid w:val="0030336F"/>
    <w:rsid w:val="0030375E"/>
    <w:rsid w:val="00303A3A"/>
    <w:rsid w:val="003121DA"/>
    <w:rsid w:val="00312A30"/>
    <w:rsid w:val="00312B03"/>
    <w:rsid w:val="003172FD"/>
    <w:rsid w:val="00320F72"/>
    <w:rsid w:val="0032463E"/>
    <w:rsid w:val="00326224"/>
    <w:rsid w:val="00337EE4"/>
    <w:rsid w:val="00340FFD"/>
    <w:rsid w:val="003431CD"/>
    <w:rsid w:val="003506B1"/>
    <w:rsid w:val="003545A0"/>
    <w:rsid w:val="00354F8C"/>
    <w:rsid w:val="00356AC7"/>
    <w:rsid w:val="003609B4"/>
    <w:rsid w:val="003609FA"/>
    <w:rsid w:val="00365283"/>
    <w:rsid w:val="00365B25"/>
    <w:rsid w:val="003672D3"/>
    <w:rsid w:val="003710C8"/>
    <w:rsid w:val="003750BE"/>
    <w:rsid w:val="00376372"/>
    <w:rsid w:val="00383190"/>
    <w:rsid w:val="0038481D"/>
    <w:rsid w:val="00387B9D"/>
    <w:rsid w:val="0039364F"/>
    <w:rsid w:val="00396686"/>
    <w:rsid w:val="0039778E"/>
    <w:rsid w:val="00397B77"/>
    <w:rsid w:val="003B0C32"/>
    <w:rsid w:val="003B2814"/>
    <w:rsid w:val="003B4941"/>
    <w:rsid w:val="003C05B8"/>
    <w:rsid w:val="003C5714"/>
    <w:rsid w:val="003C6B9F"/>
    <w:rsid w:val="003C6E2A"/>
    <w:rsid w:val="003D0299"/>
    <w:rsid w:val="003D0975"/>
    <w:rsid w:val="003D2207"/>
    <w:rsid w:val="003D6314"/>
    <w:rsid w:val="003D6E90"/>
    <w:rsid w:val="003E4F79"/>
    <w:rsid w:val="003E5477"/>
    <w:rsid w:val="003E6D80"/>
    <w:rsid w:val="003F05FA"/>
    <w:rsid w:val="003F0B16"/>
    <w:rsid w:val="003F244A"/>
    <w:rsid w:val="003F30B8"/>
    <w:rsid w:val="003F4C45"/>
    <w:rsid w:val="003F5F7B"/>
    <w:rsid w:val="003F7D64"/>
    <w:rsid w:val="00412450"/>
    <w:rsid w:val="00414300"/>
    <w:rsid w:val="00421D8B"/>
    <w:rsid w:val="00422876"/>
    <w:rsid w:val="00425C67"/>
    <w:rsid w:val="00425DE3"/>
    <w:rsid w:val="00427E7A"/>
    <w:rsid w:val="004306A0"/>
    <w:rsid w:val="00434EC4"/>
    <w:rsid w:val="00436C49"/>
    <w:rsid w:val="00436E18"/>
    <w:rsid w:val="00445366"/>
    <w:rsid w:val="0044798E"/>
    <w:rsid w:val="00447F5B"/>
    <w:rsid w:val="00450ACF"/>
    <w:rsid w:val="00461DB0"/>
    <w:rsid w:val="00463926"/>
    <w:rsid w:val="00464C9A"/>
    <w:rsid w:val="004741F5"/>
    <w:rsid w:val="00474F3D"/>
    <w:rsid w:val="00477E3A"/>
    <w:rsid w:val="00483E5F"/>
    <w:rsid w:val="00485FF9"/>
    <w:rsid w:val="004907F0"/>
    <w:rsid w:val="0049140B"/>
    <w:rsid w:val="00491508"/>
    <w:rsid w:val="004919E1"/>
    <w:rsid w:val="004923A5"/>
    <w:rsid w:val="004960C0"/>
    <w:rsid w:val="00496BFB"/>
    <w:rsid w:val="004A0903"/>
    <w:rsid w:val="004A15C7"/>
    <w:rsid w:val="004A2AED"/>
    <w:rsid w:val="004A44C1"/>
    <w:rsid w:val="004B013B"/>
    <w:rsid w:val="004B112B"/>
    <w:rsid w:val="004B3141"/>
    <w:rsid w:val="004B4A82"/>
    <w:rsid w:val="004C01E4"/>
    <w:rsid w:val="004C086C"/>
    <w:rsid w:val="004C1EAE"/>
    <w:rsid w:val="004C1F56"/>
    <w:rsid w:val="004C27BC"/>
    <w:rsid w:val="004C557C"/>
    <w:rsid w:val="004D15F3"/>
    <w:rsid w:val="004D495F"/>
    <w:rsid w:val="004D5311"/>
    <w:rsid w:val="004D5DCC"/>
    <w:rsid w:val="004D6C34"/>
    <w:rsid w:val="004E197D"/>
    <w:rsid w:val="004E597C"/>
    <w:rsid w:val="004F10AF"/>
    <w:rsid w:val="004F11A4"/>
    <w:rsid w:val="004F2389"/>
    <w:rsid w:val="004F2979"/>
    <w:rsid w:val="004F304D"/>
    <w:rsid w:val="004F61BE"/>
    <w:rsid w:val="004F66B1"/>
    <w:rsid w:val="005032E1"/>
    <w:rsid w:val="00511C07"/>
    <w:rsid w:val="005173A6"/>
    <w:rsid w:val="005209A4"/>
    <w:rsid w:val="00520BAA"/>
    <w:rsid w:val="00522625"/>
    <w:rsid w:val="00525208"/>
    <w:rsid w:val="005257A5"/>
    <w:rsid w:val="005264C0"/>
    <w:rsid w:val="00526A8A"/>
    <w:rsid w:val="00531DF2"/>
    <w:rsid w:val="005337EE"/>
    <w:rsid w:val="00535F9E"/>
    <w:rsid w:val="005442EE"/>
    <w:rsid w:val="00547353"/>
    <w:rsid w:val="005474E7"/>
    <w:rsid w:val="005512A3"/>
    <w:rsid w:val="005537BA"/>
    <w:rsid w:val="005578CE"/>
    <w:rsid w:val="00562781"/>
    <w:rsid w:val="0057271C"/>
    <w:rsid w:val="00572845"/>
    <w:rsid w:val="00573EEB"/>
    <w:rsid w:val="00575C5E"/>
    <w:rsid w:val="0058223A"/>
    <w:rsid w:val="00585F45"/>
    <w:rsid w:val="0059012B"/>
    <w:rsid w:val="00592772"/>
    <w:rsid w:val="0059574A"/>
    <w:rsid w:val="00595AFD"/>
    <w:rsid w:val="00596468"/>
    <w:rsid w:val="005A02CB"/>
    <w:rsid w:val="005A1B9B"/>
    <w:rsid w:val="005A6751"/>
    <w:rsid w:val="005B092E"/>
    <w:rsid w:val="005B152C"/>
    <w:rsid w:val="005B1EE0"/>
    <w:rsid w:val="005B2B24"/>
    <w:rsid w:val="005B4425"/>
    <w:rsid w:val="005B4B94"/>
    <w:rsid w:val="005C3EE8"/>
    <w:rsid w:val="005D0E24"/>
    <w:rsid w:val="005D34F9"/>
    <w:rsid w:val="005D4190"/>
    <w:rsid w:val="005D67A3"/>
    <w:rsid w:val="005D7D74"/>
    <w:rsid w:val="005E2988"/>
    <w:rsid w:val="005E3085"/>
    <w:rsid w:val="005E37C6"/>
    <w:rsid w:val="005E6791"/>
    <w:rsid w:val="005F2E68"/>
    <w:rsid w:val="005F51E1"/>
    <w:rsid w:val="00600F74"/>
    <w:rsid w:val="00601DF7"/>
    <w:rsid w:val="00603829"/>
    <w:rsid w:val="00611C80"/>
    <w:rsid w:val="00612458"/>
    <w:rsid w:val="00612705"/>
    <w:rsid w:val="00612F02"/>
    <w:rsid w:val="00620692"/>
    <w:rsid w:val="006242CA"/>
    <w:rsid w:val="00625412"/>
    <w:rsid w:val="00625FBC"/>
    <w:rsid w:val="00627507"/>
    <w:rsid w:val="00627C3E"/>
    <w:rsid w:val="006315F6"/>
    <w:rsid w:val="00633717"/>
    <w:rsid w:val="006344E1"/>
    <w:rsid w:val="00640A8F"/>
    <w:rsid w:val="00645543"/>
    <w:rsid w:val="006545C4"/>
    <w:rsid w:val="00661971"/>
    <w:rsid w:val="00661CE8"/>
    <w:rsid w:val="006623D9"/>
    <w:rsid w:val="0066550C"/>
    <w:rsid w:val="00667B26"/>
    <w:rsid w:val="00667EEA"/>
    <w:rsid w:val="006716F2"/>
    <w:rsid w:val="00674574"/>
    <w:rsid w:val="006768F4"/>
    <w:rsid w:val="00680FA7"/>
    <w:rsid w:val="00682BF2"/>
    <w:rsid w:val="006859CE"/>
    <w:rsid w:val="00687120"/>
    <w:rsid w:val="006907AF"/>
    <w:rsid w:val="00691270"/>
    <w:rsid w:val="00694A2E"/>
    <w:rsid w:val="00694BA8"/>
    <w:rsid w:val="0069662E"/>
    <w:rsid w:val="006A037C"/>
    <w:rsid w:val="006A36F4"/>
    <w:rsid w:val="006A406F"/>
    <w:rsid w:val="006A4E4B"/>
    <w:rsid w:val="006A5258"/>
    <w:rsid w:val="006A5D3A"/>
    <w:rsid w:val="006C1BCB"/>
    <w:rsid w:val="006C23D4"/>
    <w:rsid w:val="006C7BB0"/>
    <w:rsid w:val="006D3237"/>
    <w:rsid w:val="006E0E3D"/>
    <w:rsid w:val="006E2E37"/>
    <w:rsid w:val="006E3CF1"/>
    <w:rsid w:val="006E71DB"/>
    <w:rsid w:val="006E7E80"/>
    <w:rsid w:val="006F02CB"/>
    <w:rsid w:val="006F48CA"/>
    <w:rsid w:val="006F4FF1"/>
    <w:rsid w:val="006F64DD"/>
    <w:rsid w:val="007023DB"/>
    <w:rsid w:val="00702C82"/>
    <w:rsid w:val="0071339C"/>
    <w:rsid w:val="00715127"/>
    <w:rsid w:val="00715263"/>
    <w:rsid w:val="00715E8E"/>
    <w:rsid w:val="00723580"/>
    <w:rsid w:val="00723755"/>
    <w:rsid w:val="0073136C"/>
    <w:rsid w:val="00731F0F"/>
    <w:rsid w:val="00733250"/>
    <w:rsid w:val="007353F8"/>
    <w:rsid w:val="00737395"/>
    <w:rsid w:val="00741404"/>
    <w:rsid w:val="0074457F"/>
    <w:rsid w:val="007449E5"/>
    <w:rsid w:val="00745F2B"/>
    <w:rsid w:val="00747FF0"/>
    <w:rsid w:val="0075238D"/>
    <w:rsid w:val="007523AC"/>
    <w:rsid w:val="00763253"/>
    <w:rsid w:val="00764D4E"/>
    <w:rsid w:val="00765A1F"/>
    <w:rsid w:val="007704E1"/>
    <w:rsid w:val="00774930"/>
    <w:rsid w:val="00775B6D"/>
    <w:rsid w:val="00776D68"/>
    <w:rsid w:val="00784054"/>
    <w:rsid w:val="007850EE"/>
    <w:rsid w:val="00785B95"/>
    <w:rsid w:val="00790E96"/>
    <w:rsid w:val="00793366"/>
    <w:rsid w:val="007952DA"/>
    <w:rsid w:val="0079555B"/>
    <w:rsid w:val="007A5157"/>
    <w:rsid w:val="007A69BD"/>
    <w:rsid w:val="007A716F"/>
    <w:rsid w:val="007B270A"/>
    <w:rsid w:val="007B4B56"/>
    <w:rsid w:val="007C0695"/>
    <w:rsid w:val="007C419A"/>
    <w:rsid w:val="007C4CC8"/>
    <w:rsid w:val="007C5426"/>
    <w:rsid w:val="007C5798"/>
    <w:rsid w:val="007D17C8"/>
    <w:rsid w:val="007D4832"/>
    <w:rsid w:val="007D557A"/>
    <w:rsid w:val="007E21B2"/>
    <w:rsid w:val="007E2C4E"/>
    <w:rsid w:val="007E3ED4"/>
    <w:rsid w:val="007E48C2"/>
    <w:rsid w:val="007E6C3B"/>
    <w:rsid w:val="007F1905"/>
    <w:rsid w:val="007F5AC4"/>
    <w:rsid w:val="0080060A"/>
    <w:rsid w:val="00801300"/>
    <w:rsid w:val="00802C64"/>
    <w:rsid w:val="00805E52"/>
    <w:rsid w:val="008061D0"/>
    <w:rsid w:val="00810B38"/>
    <w:rsid w:val="008204C7"/>
    <w:rsid w:val="00820992"/>
    <w:rsid w:val="00823602"/>
    <w:rsid w:val="008255F5"/>
    <w:rsid w:val="00827E69"/>
    <w:rsid w:val="0083014E"/>
    <w:rsid w:val="008303D3"/>
    <w:rsid w:val="0083214A"/>
    <w:rsid w:val="00834220"/>
    <w:rsid w:val="008375D7"/>
    <w:rsid w:val="0084351A"/>
    <w:rsid w:val="00845397"/>
    <w:rsid w:val="00845723"/>
    <w:rsid w:val="00851EF9"/>
    <w:rsid w:val="008577FD"/>
    <w:rsid w:val="00860B03"/>
    <w:rsid w:val="00863E96"/>
    <w:rsid w:val="0086497A"/>
    <w:rsid w:val="00865298"/>
    <w:rsid w:val="008713A1"/>
    <w:rsid w:val="008754AB"/>
    <w:rsid w:val="0088060C"/>
    <w:rsid w:val="00881E48"/>
    <w:rsid w:val="00882CBD"/>
    <w:rsid w:val="0089329D"/>
    <w:rsid w:val="00893576"/>
    <w:rsid w:val="00893E73"/>
    <w:rsid w:val="008964C1"/>
    <w:rsid w:val="008A57DD"/>
    <w:rsid w:val="008B02DC"/>
    <w:rsid w:val="008B0340"/>
    <w:rsid w:val="008B2513"/>
    <w:rsid w:val="008B3A11"/>
    <w:rsid w:val="008B57CE"/>
    <w:rsid w:val="008C26DE"/>
    <w:rsid w:val="008C365F"/>
    <w:rsid w:val="008D2225"/>
    <w:rsid w:val="008D315D"/>
    <w:rsid w:val="008D3950"/>
    <w:rsid w:val="008D4752"/>
    <w:rsid w:val="008D5655"/>
    <w:rsid w:val="008D5FB3"/>
    <w:rsid w:val="008D7298"/>
    <w:rsid w:val="008E0864"/>
    <w:rsid w:val="008E271C"/>
    <w:rsid w:val="008E418E"/>
    <w:rsid w:val="008E5BC6"/>
    <w:rsid w:val="008E6A25"/>
    <w:rsid w:val="008F5193"/>
    <w:rsid w:val="008F6B01"/>
    <w:rsid w:val="009013A7"/>
    <w:rsid w:val="009017FB"/>
    <w:rsid w:val="009017FC"/>
    <w:rsid w:val="00901C6E"/>
    <w:rsid w:val="009037D2"/>
    <w:rsid w:val="0090506B"/>
    <w:rsid w:val="009050C9"/>
    <w:rsid w:val="0090615B"/>
    <w:rsid w:val="009066FC"/>
    <w:rsid w:val="009132EF"/>
    <w:rsid w:val="009140A3"/>
    <w:rsid w:val="009144A2"/>
    <w:rsid w:val="0091510C"/>
    <w:rsid w:val="00915B92"/>
    <w:rsid w:val="00922DCF"/>
    <w:rsid w:val="009259AC"/>
    <w:rsid w:val="00926AD5"/>
    <w:rsid w:val="00926F38"/>
    <w:rsid w:val="00933233"/>
    <w:rsid w:val="00934301"/>
    <w:rsid w:val="00936C2D"/>
    <w:rsid w:val="00936CD1"/>
    <w:rsid w:val="00941747"/>
    <w:rsid w:val="00941EFB"/>
    <w:rsid w:val="00944939"/>
    <w:rsid w:val="00947AFB"/>
    <w:rsid w:val="00951D7D"/>
    <w:rsid w:val="00957223"/>
    <w:rsid w:val="0096090F"/>
    <w:rsid w:val="009630C7"/>
    <w:rsid w:val="00966EC4"/>
    <w:rsid w:val="00972B55"/>
    <w:rsid w:val="00972E78"/>
    <w:rsid w:val="009743B7"/>
    <w:rsid w:val="00981EE0"/>
    <w:rsid w:val="0098228B"/>
    <w:rsid w:val="009828DA"/>
    <w:rsid w:val="00985BAB"/>
    <w:rsid w:val="009A5C55"/>
    <w:rsid w:val="009A624F"/>
    <w:rsid w:val="009B181F"/>
    <w:rsid w:val="009B1B5F"/>
    <w:rsid w:val="009B6673"/>
    <w:rsid w:val="009C191B"/>
    <w:rsid w:val="009C2BD6"/>
    <w:rsid w:val="009D686B"/>
    <w:rsid w:val="009E1F32"/>
    <w:rsid w:val="009E776C"/>
    <w:rsid w:val="009F7C6E"/>
    <w:rsid w:val="00A00144"/>
    <w:rsid w:val="00A034A3"/>
    <w:rsid w:val="00A07BBF"/>
    <w:rsid w:val="00A14125"/>
    <w:rsid w:val="00A16126"/>
    <w:rsid w:val="00A1726E"/>
    <w:rsid w:val="00A204CF"/>
    <w:rsid w:val="00A23D49"/>
    <w:rsid w:val="00A25EF5"/>
    <w:rsid w:val="00A27004"/>
    <w:rsid w:val="00A30C29"/>
    <w:rsid w:val="00A30D82"/>
    <w:rsid w:val="00A34DD6"/>
    <w:rsid w:val="00A36819"/>
    <w:rsid w:val="00A36989"/>
    <w:rsid w:val="00A36EA2"/>
    <w:rsid w:val="00A43628"/>
    <w:rsid w:val="00A54192"/>
    <w:rsid w:val="00A5628A"/>
    <w:rsid w:val="00A6035E"/>
    <w:rsid w:val="00A6144C"/>
    <w:rsid w:val="00A66617"/>
    <w:rsid w:val="00A671A3"/>
    <w:rsid w:val="00A671F8"/>
    <w:rsid w:val="00A673A4"/>
    <w:rsid w:val="00A724AE"/>
    <w:rsid w:val="00A73329"/>
    <w:rsid w:val="00A74BC1"/>
    <w:rsid w:val="00A82359"/>
    <w:rsid w:val="00A834B3"/>
    <w:rsid w:val="00A84343"/>
    <w:rsid w:val="00A865D2"/>
    <w:rsid w:val="00A92715"/>
    <w:rsid w:val="00A94C20"/>
    <w:rsid w:val="00A94F3C"/>
    <w:rsid w:val="00A9667A"/>
    <w:rsid w:val="00AA1EA7"/>
    <w:rsid w:val="00AA227F"/>
    <w:rsid w:val="00AA2B5D"/>
    <w:rsid w:val="00AA3BC7"/>
    <w:rsid w:val="00AA42E9"/>
    <w:rsid w:val="00AA754A"/>
    <w:rsid w:val="00AB099E"/>
    <w:rsid w:val="00AB3EE4"/>
    <w:rsid w:val="00AB4328"/>
    <w:rsid w:val="00AC0824"/>
    <w:rsid w:val="00AD0645"/>
    <w:rsid w:val="00AD412E"/>
    <w:rsid w:val="00AD6D0A"/>
    <w:rsid w:val="00AE0A2E"/>
    <w:rsid w:val="00AE2C6A"/>
    <w:rsid w:val="00AE354C"/>
    <w:rsid w:val="00AE365E"/>
    <w:rsid w:val="00AE5213"/>
    <w:rsid w:val="00AF4B07"/>
    <w:rsid w:val="00AF6186"/>
    <w:rsid w:val="00AF7A3A"/>
    <w:rsid w:val="00AF7F28"/>
    <w:rsid w:val="00B160DB"/>
    <w:rsid w:val="00B16876"/>
    <w:rsid w:val="00B20836"/>
    <w:rsid w:val="00B235BB"/>
    <w:rsid w:val="00B23C0B"/>
    <w:rsid w:val="00B252DD"/>
    <w:rsid w:val="00B27A44"/>
    <w:rsid w:val="00B30BBF"/>
    <w:rsid w:val="00B33C03"/>
    <w:rsid w:val="00B34432"/>
    <w:rsid w:val="00B43FF9"/>
    <w:rsid w:val="00B44E56"/>
    <w:rsid w:val="00B46543"/>
    <w:rsid w:val="00B467D3"/>
    <w:rsid w:val="00B47D33"/>
    <w:rsid w:val="00B52BE0"/>
    <w:rsid w:val="00B53A90"/>
    <w:rsid w:val="00B54133"/>
    <w:rsid w:val="00B701ED"/>
    <w:rsid w:val="00B8086C"/>
    <w:rsid w:val="00B81579"/>
    <w:rsid w:val="00B861B4"/>
    <w:rsid w:val="00B86DFE"/>
    <w:rsid w:val="00B86FDB"/>
    <w:rsid w:val="00B90990"/>
    <w:rsid w:val="00B922FF"/>
    <w:rsid w:val="00B9281E"/>
    <w:rsid w:val="00B93925"/>
    <w:rsid w:val="00B95187"/>
    <w:rsid w:val="00B9776F"/>
    <w:rsid w:val="00BA2D55"/>
    <w:rsid w:val="00BA71B1"/>
    <w:rsid w:val="00BB0637"/>
    <w:rsid w:val="00BB345F"/>
    <w:rsid w:val="00BB4212"/>
    <w:rsid w:val="00BB68EA"/>
    <w:rsid w:val="00BC17F4"/>
    <w:rsid w:val="00BC1C27"/>
    <w:rsid w:val="00BC4A8F"/>
    <w:rsid w:val="00BC51B7"/>
    <w:rsid w:val="00BC59FF"/>
    <w:rsid w:val="00BC6BBF"/>
    <w:rsid w:val="00BC7867"/>
    <w:rsid w:val="00BD1572"/>
    <w:rsid w:val="00BD432E"/>
    <w:rsid w:val="00BD51F7"/>
    <w:rsid w:val="00BE14E3"/>
    <w:rsid w:val="00BE2899"/>
    <w:rsid w:val="00BE3774"/>
    <w:rsid w:val="00BE3C77"/>
    <w:rsid w:val="00BE41E5"/>
    <w:rsid w:val="00BF4109"/>
    <w:rsid w:val="00BF4CC3"/>
    <w:rsid w:val="00C054C7"/>
    <w:rsid w:val="00C057B5"/>
    <w:rsid w:val="00C06E15"/>
    <w:rsid w:val="00C1262B"/>
    <w:rsid w:val="00C12C90"/>
    <w:rsid w:val="00C143E5"/>
    <w:rsid w:val="00C1638D"/>
    <w:rsid w:val="00C22687"/>
    <w:rsid w:val="00C311B3"/>
    <w:rsid w:val="00C31CD3"/>
    <w:rsid w:val="00C32E4D"/>
    <w:rsid w:val="00C333A0"/>
    <w:rsid w:val="00C35C72"/>
    <w:rsid w:val="00C35D44"/>
    <w:rsid w:val="00C36408"/>
    <w:rsid w:val="00C36A81"/>
    <w:rsid w:val="00C41974"/>
    <w:rsid w:val="00C47742"/>
    <w:rsid w:val="00C53F4A"/>
    <w:rsid w:val="00C54125"/>
    <w:rsid w:val="00C55B54"/>
    <w:rsid w:val="00C55D58"/>
    <w:rsid w:val="00C6098E"/>
    <w:rsid w:val="00C611D8"/>
    <w:rsid w:val="00C6152C"/>
    <w:rsid w:val="00C637B9"/>
    <w:rsid w:val="00C63990"/>
    <w:rsid w:val="00C64EF6"/>
    <w:rsid w:val="00C7103F"/>
    <w:rsid w:val="00C72269"/>
    <w:rsid w:val="00C742A4"/>
    <w:rsid w:val="00C74810"/>
    <w:rsid w:val="00C7637A"/>
    <w:rsid w:val="00C82303"/>
    <w:rsid w:val="00C90D68"/>
    <w:rsid w:val="00C939FE"/>
    <w:rsid w:val="00CA0155"/>
    <w:rsid w:val="00CA03D2"/>
    <w:rsid w:val="00CA1A21"/>
    <w:rsid w:val="00CA4BDA"/>
    <w:rsid w:val="00CA7330"/>
    <w:rsid w:val="00CB1F66"/>
    <w:rsid w:val="00CB2951"/>
    <w:rsid w:val="00CB4219"/>
    <w:rsid w:val="00CB53B1"/>
    <w:rsid w:val="00CB6A06"/>
    <w:rsid w:val="00CC5D10"/>
    <w:rsid w:val="00CC71E6"/>
    <w:rsid w:val="00CD282B"/>
    <w:rsid w:val="00CD3A6A"/>
    <w:rsid w:val="00CD498C"/>
    <w:rsid w:val="00CD4C35"/>
    <w:rsid w:val="00CD4DB6"/>
    <w:rsid w:val="00CD6841"/>
    <w:rsid w:val="00CD7369"/>
    <w:rsid w:val="00CE0B0E"/>
    <w:rsid w:val="00CE3831"/>
    <w:rsid w:val="00CF1F29"/>
    <w:rsid w:val="00CF48F8"/>
    <w:rsid w:val="00CF7167"/>
    <w:rsid w:val="00D00ABB"/>
    <w:rsid w:val="00D02EEC"/>
    <w:rsid w:val="00D03551"/>
    <w:rsid w:val="00D06A63"/>
    <w:rsid w:val="00D07E0E"/>
    <w:rsid w:val="00D11478"/>
    <w:rsid w:val="00D15ED0"/>
    <w:rsid w:val="00D21B3E"/>
    <w:rsid w:val="00D21E27"/>
    <w:rsid w:val="00D21FED"/>
    <w:rsid w:val="00D24251"/>
    <w:rsid w:val="00D250D7"/>
    <w:rsid w:val="00D343E2"/>
    <w:rsid w:val="00D34D5A"/>
    <w:rsid w:val="00D361A2"/>
    <w:rsid w:val="00D37C1F"/>
    <w:rsid w:val="00D42AFF"/>
    <w:rsid w:val="00D44C2E"/>
    <w:rsid w:val="00D45414"/>
    <w:rsid w:val="00D566BD"/>
    <w:rsid w:val="00D571BF"/>
    <w:rsid w:val="00D576CF"/>
    <w:rsid w:val="00D57A4D"/>
    <w:rsid w:val="00D60AA7"/>
    <w:rsid w:val="00D6435F"/>
    <w:rsid w:val="00D7181A"/>
    <w:rsid w:val="00D7449F"/>
    <w:rsid w:val="00D74CEF"/>
    <w:rsid w:val="00D7593C"/>
    <w:rsid w:val="00D75E28"/>
    <w:rsid w:val="00D772C2"/>
    <w:rsid w:val="00D8008E"/>
    <w:rsid w:val="00D82C45"/>
    <w:rsid w:val="00D908A8"/>
    <w:rsid w:val="00D95BE7"/>
    <w:rsid w:val="00D96C2D"/>
    <w:rsid w:val="00D977B6"/>
    <w:rsid w:val="00DA4A31"/>
    <w:rsid w:val="00DA7B04"/>
    <w:rsid w:val="00DB02A4"/>
    <w:rsid w:val="00DB2002"/>
    <w:rsid w:val="00DB36C2"/>
    <w:rsid w:val="00DB5FF1"/>
    <w:rsid w:val="00DB7227"/>
    <w:rsid w:val="00DB7FE2"/>
    <w:rsid w:val="00DC169B"/>
    <w:rsid w:val="00DC2AB9"/>
    <w:rsid w:val="00DC63F0"/>
    <w:rsid w:val="00DD19B8"/>
    <w:rsid w:val="00DD1AC4"/>
    <w:rsid w:val="00DD49C3"/>
    <w:rsid w:val="00DD4AAB"/>
    <w:rsid w:val="00DD5146"/>
    <w:rsid w:val="00DD6EE5"/>
    <w:rsid w:val="00DE1053"/>
    <w:rsid w:val="00DE386C"/>
    <w:rsid w:val="00DE4D1E"/>
    <w:rsid w:val="00DE4D35"/>
    <w:rsid w:val="00DE7A19"/>
    <w:rsid w:val="00DF098B"/>
    <w:rsid w:val="00DF11C4"/>
    <w:rsid w:val="00DF210C"/>
    <w:rsid w:val="00DF4B6A"/>
    <w:rsid w:val="00E01E65"/>
    <w:rsid w:val="00E02C09"/>
    <w:rsid w:val="00E04D59"/>
    <w:rsid w:val="00E06C51"/>
    <w:rsid w:val="00E07AF1"/>
    <w:rsid w:val="00E07DA1"/>
    <w:rsid w:val="00E123CB"/>
    <w:rsid w:val="00E14C63"/>
    <w:rsid w:val="00E154EA"/>
    <w:rsid w:val="00E20E13"/>
    <w:rsid w:val="00E21DBC"/>
    <w:rsid w:val="00E2519B"/>
    <w:rsid w:val="00E275D7"/>
    <w:rsid w:val="00E27DBE"/>
    <w:rsid w:val="00E32AB1"/>
    <w:rsid w:val="00E36C71"/>
    <w:rsid w:val="00E40404"/>
    <w:rsid w:val="00E40595"/>
    <w:rsid w:val="00E41552"/>
    <w:rsid w:val="00E42225"/>
    <w:rsid w:val="00E4529A"/>
    <w:rsid w:val="00E459C6"/>
    <w:rsid w:val="00E47589"/>
    <w:rsid w:val="00E531D6"/>
    <w:rsid w:val="00E56ABA"/>
    <w:rsid w:val="00E64915"/>
    <w:rsid w:val="00E661D4"/>
    <w:rsid w:val="00E70091"/>
    <w:rsid w:val="00E720F5"/>
    <w:rsid w:val="00E73AFB"/>
    <w:rsid w:val="00E76D47"/>
    <w:rsid w:val="00E77CB3"/>
    <w:rsid w:val="00E84162"/>
    <w:rsid w:val="00E849F7"/>
    <w:rsid w:val="00E84A4E"/>
    <w:rsid w:val="00E862D4"/>
    <w:rsid w:val="00E86D04"/>
    <w:rsid w:val="00E873E7"/>
    <w:rsid w:val="00E90302"/>
    <w:rsid w:val="00E91700"/>
    <w:rsid w:val="00E97396"/>
    <w:rsid w:val="00EA185E"/>
    <w:rsid w:val="00EA2497"/>
    <w:rsid w:val="00EA592A"/>
    <w:rsid w:val="00EA77AE"/>
    <w:rsid w:val="00EB14E4"/>
    <w:rsid w:val="00EB32A5"/>
    <w:rsid w:val="00EB34ED"/>
    <w:rsid w:val="00EB7BE0"/>
    <w:rsid w:val="00EB7E63"/>
    <w:rsid w:val="00EC315E"/>
    <w:rsid w:val="00ED077C"/>
    <w:rsid w:val="00ED1190"/>
    <w:rsid w:val="00ED4819"/>
    <w:rsid w:val="00ED6544"/>
    <w:rsid w:val="00EE0277"/>
    <w:rsid w:val="00EE3E00"/>
    <w:rsid w:val="00EE5DD2"/>
    <w:rsid w:val="00EE64BE"/>
    <w:rsid w:val="00EF0CF3"/>
    <w:rsid w:val="00EF1D6B"/>
    <w:rsid w:val="00EF49B4"/>
    <w:rsid w:val="00EF63C2"/>
    <w:rsid w:val="00F00A79"/>
    <w:rsid w:val="00F00E86"/>
    <w:rsid w:val="00F07C1E"/>
    <w:rsid w:val="00F105DB"/>
    <w:rsid w:val="00F132BC"/>
    <w:rsid w:val="00F13D80"/>
    <w:rsid w:val="00F15E6B"/>
    <w:rsid w:val="00F16AAA"/>
    <w:rsid w:val="00F171D7"/>
    <w:rsid w:val="00F209BC"/>
    <w:rsid w:val="00F21161"/>
    <w:rsid w:val="00F218EF"/>
    <w:rsid w:val="00F21BC7"/>
    <w:rsid w:val="00F266A2"/>
    <w:rsid w:val="00F32269"/>
    <w:rsid w:val="00F40405"/>
    <w:rsid w:val="00F405FE"/>
    <w:rsid w:val="00F56A6F"/>
    <w:rsid w:val="00F5709C"/>
    <w:rsid w:val="00F64CF7"/>
    <w:rsid w:val="00F64EF1"/>
    <w:rsid w:val="00F64F1E"/>
    <w:rsid w:val="00F74E86"/>
    <w:rsid w:val="00F76BB4"/>
    <w:rsid w:val="00F85CD0"/>
    <w:rsid w:val="00F8765F"/>
    <w:rsid w:val="00F90767"/>
    <w:rsid w:val="00F90864"/>
    <w:rsid w:val="00F918F0"/>
    <w:rsid w:val="00F94450"/>
    <w:rsid w:val="00F95D35"/>
    <w:rsid w:val="00FA685B"/>
    <w:rsid w:val="00FB0C01"/>
    <w:rsid w:val="00FB2BA8"/>
    <w:rsid w:val="00FB5152"/>
    <w:rsid w:val="00FB6961"/>
    <w:rsid w:val="00FC18F2"/>
    <w:rsid w:val="00FC34B3"/>
    <w:rsid w:val="00FC39E5"/>
    <w:rsid w:val="00FC3A78"/>
    <w:rsid w:val="00FD1005"/>
    <w:rsid w:val="00FD16EA"/>
    <w:rsid w:val="00FD6C75"/>
    <w:rsid w:val="00FE0BF3"/>
    <w:rsid w:val="00FE1496"/>
    <w:rsid w:val="00FE71B3"/>
    <w:rsid w:val="00FE7E1F"/>
    <w:rsid w:val="00FF3B1C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57" w:unhideWhenUsed="1"/>
    <w:lsdException w:name="footer" w:semiHidden="1" w:uiPriority="57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semiHidden/>
    <w:rsid w:val="0016174F"/>
    <w:pPr>
      <w:jc w:val="both"/>
    </w:pPr>
    <w:rPr>
      <w:rFonts w:eastAsiaTheme="minorEastAsia"/>
      <w:sz w:val="24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16174F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16174F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16174F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16174F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16174F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16174F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16174F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16174F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16174F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1617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174F"/>
    <w:rPr>
      <w:rFonts w:ascii="Tahoma" w:eastAsiaTheme="minorEastAsia" w:hAnsi="Tahoma" w:cs="Tahoma"/>
      <w:sz w:val="16"/>
      <w:szCs w:val="16"/>
    </w:rPr>
  </w:style>
  <w:style w:type="character" w:styleId="Titolodellibro">
    <w:name w:val="Book Title"/>
    <w:uiPriority w:val="99"/>
    <w:semiHidden/>
    <w:qFormat/>
    <w:rsid w:val="0016174F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16174F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ECHRFooter">
    <w:name w:val="ECHR_Footer"/>
    <w:aliases w:val="Footer_ECHR"/>
    <w:basedOn w:val="Pidipagina"/>
    <w:uiPriority w:val="57"/>
    <w:semiHidden/>
    <w:rsid w:val="0016174F"/>
    <w:pPr>
      <w:jc w:val="left"/>
    </w:pPr>
    <w:rPr>
      <w:sz w:val="8"/>
    </w:rPr>
  </w:style>
  <w:style w:type="character" w:styleId="Enfasigrassetto">
    <w:name w:val="Strong"/>
    <w:uiPriority w:val="99"/>
    <w:semiHidden/>
    <w:qFormat/>
    <w:rsid w:val="0016174F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16174F"/>
    <w:rPr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16174F"/>
    <w:rPr>
      <w:rFonts w:eastAsiaTheme="minorEastAsia"/>
    </w:rPr>
  </w:style>
  <w:style w:type="paragraph" w:customStyle="1" w:styleId="ECHRFooterLine">
    <w:name w:val="ECHR_Footer_Line"/>
    <w:aliases w:val="Footer_Line"/>
    <w:basedOn w:val="Normale"/>
    <w:next w:val="ECHRFooter"/>
    <w:uiPriority w:val="57"/>
    <w:semiHidden/>
    <w:rsid w:val="0016174F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JuAppQuestion">
    <w:name w:val="Ju_App_Question"/>
    <w:basedOn w:val="Normale"/>
    <w:uiPriority w:val="5"/>
    <w:rsid w:val="0016174F"/>
    <w:pPr>
      <w:numPr>
        <w:numId w:val="16"/>
      </w:numPr>
      <w:jc w:val="left"/>
    </w:pPr>
    <w:rPr>
      <w:b/>
    </w:rPr>
  </w:style>
  <w:style w:type="paragraph" w:customStyle="1" w:styleId="OpiPara">
    <w:name w:val="Opi_Para"/>
    <w:basedOn w:val="ECHRPara"/>
    <w:uiPriority w:val="46"/>
    <w:qFormat/>
    <w:rsid w:val="0016174F"/>
  </w:style>
  <w:style w:type="paragraph" w:customStyle="1" w:styleId="JuParaSub">
    <w:name w:val="Ju_Para_Sub"/>
    <w:basedOn w:val="ECHRPara"/>
    <w:uiPriority w:val="13"/>
    <w:qFormat/>
    <w:rsid w:val="0016174F"/>
    <w:pPr>
      <w:ind w:left="284"/>
    </w:pPr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16174F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qFormat/>
    <w:rsid w:val="0016174F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OpiParaSub">
    <w:name w:val="Opi_Para_Sub"/>
    <w:basedOn w:val="JuParaSub"/>
    <w:uiPriority w:val="47"/>
    <w:qFormat/>
    <w:rsid w:val="0016174F"/>
  </w:style>
  <w:style w:type="paragraph" w:customStyle="1" w:styleId="OpiQuot">
    <w:name w:val="Opi_Quot"/>
    <w:basedOn w:val="ECHRParaQuote"/>
    <w:uiPriority w:val="48"/>
    <w:qFormat/>
    <w:rsid w:val="0016174F"/>
  </w:style>
  <w:style w:type="paragraph" w:customStyle="1" w:styleId="OpiQuotSub">
    <w:name w:val="Opi_Quot_Sub"/>
    <w:basedOn w:val="JuQuotSub"/>
    <w:uiPriority w:val="49"/>
    <w:qFormat/>
    <w:rsid w:val="0016174F"/>
  </w:style>
  <w:style w:type="paragraph" w:customStyle="1" w:styleId="ECHRTitleCentre2">
    <w:name w:val="ECHR_Title_Centre_2"/>
    <w:aliases w:val="Dec_H_Case"/>
    <w:basedOn w:val="Normale"/>
    <w:next w:val="ECHRPara"/>
    <w:uiPriority w:val="8"/>
    <w:rsid w:val="0016174F"/>
    <w:pPr>
      <w:spacing w:after="240"/>
      <w:jc w:val="center"/>
      <w:outlineLvl w:val="0"/>
    </w:pPr>
    <w:rPr>
      <w:rFonts w:asciiTheme="majorHAnsi" w:hAnsiTheme="majorHAnsi"/>
    </w:rPr>
  </w:style>
  <w:style w:type="paragraph" w:customStyle="1" w:styleId="JuTitle">
    <w:name w:val="Ju_Title"/>
    <w:basedOn w:val="Normale"/>
    <w:next w:val="ECHRPara"/>
    <w:uiPriority w:val="3"/>
    <w:rsid w:val="0016174F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16174F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16174F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ECHRHeading3">
    <w:name w:val="ECHR_Heading_3"/>
    <w:aliases w:val="Ju_H_1."/>
    <w:basedOn w:val="Titolo3"/>
    <w:next w:val="ECHRPara"/>
    <w:link w:val="JuH1Char"/>
    <w:uiPriority w:val="21"/>
    <w:qFormat/>
    <w:rsid w:val="0016174F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customStyle="1" w:styleId="ECHRHeading4">
    <w:name w:val="ECHR_Heading_4"/>
    <w:aliases w:val="Ju_H_a"/>
    <w:basedOn w:val="Titolo4"/>
    <w:next w:val="ECHRPara"/>
    <w:uiPriority w:val="22"/>
    <w:qFormat/>
    <w:rsid w:val="0016174F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Titolo5"/>
    <w:next w:val="ECHRPara"/>
    <w:uiPriority w:val="23"/>
    <w:qFormat/>
    <w:rsid w:val="0016174F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paragraph" w:customStyle="1" w:styleId="ECHRHeading6">
    <w:name w:val="ECHR_Heading_6"/>
    <w:aliases w:val="Ju_H_alpha"/>
    <w:basedOn w:val="Titolo6"/>
    <w:next w:val="ECHRPara"/>
    <w:uiPriority w:val="24"/>
    <w:qFormat/>
    <w:rsid w:val="0016174F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color w:val="auto"/>
      <w:sz w:val="20"/>
    </w:rPr>
  </w:style>
  <w:style w:type="paragraph" w:customStyle="1" w:styleId="ECHRHeading7">
    <w:name w:val="ECHR_Heading_7"/>
    <w:aliases w:val="Ju_H_–"/>
    <w:basedOn w:val="Titolo7"/>
    <w:next w:val="ECHRPara"/>
    <w:uiPriority w:val="25"/>
    <w:qFormat/>
    <w:rsid w:val="0016174F"/>
    <w:pPr>
      <w:keepNext/>
      <w:keepLines/>
      <w:spacing w:before="240" w:after="120"/>
      <w:ind w:left="1236"/>
    </w:pPr>
    <w:rPr>
      <w:sz w:val="20"/>
    </w:rPr>
  </w:style>
  <w:style w:type="paragraph" w:customStyle="1" w:styleId="JuQuotSub">
    <w:name w:val="Ju_Quot_Sub"/>
    <w:basedOn w:val="ECHRParaQuote"/>
    <w:uiPriority w:val="15"/>
    <w:qFormat/>
    <w:rsid w:val="0016174F"/>
    <w:pPr>
      <w:ind w:left="567"/>
    </w:pPr>
  </w:style>
  <w:style w:type="paragraph" w:customStyle="1" w:styleId="JuInitialled">
    <w:name w:val="Ju_Initialled"/>
    <w:basedOn w:val="Normale"/>
    <w:uiPriority w:val="31"/>
    <w:qFormat/>
    <w:rsid w:val="0016174F"/>
    <w:pPr>
      <w:tabs>
        <w:tab w:val="center" w:pos="6407"/>
      </w:tabs>
      <w:spacing w:before="720"/>
      <w:jc w:val="right"/>
    </w:pPr>
  </w:style>
  <w:style w:type="paragraph" w:customStyle="1" w:styleId="OpiHA">
    <w:name w:val="Opi_H_A"/>
    <w:basedOn w:val="ECHRHeading1"/>
    <w:next w:val="OpiPara"/>
    <w:uiPriority w:val="41"/>
    <w:qFormat/>
    <w:rsid w:val="0016174F"/>
    <w:pPr>
      <w:tabs>
        <w:tab w:val="clear" w:pos="357"/>
      </w:tabs>
      <w:outlineLvl w:val="1"/>
    </w:pPr>
    <w:rPr>
      <w:b/>
    </w:rPr>
  </w:style>
  <w:style w:type="paragraph" w:styleId="Intestazione">
    <w:name w:val="header"/>
    <w:basedOn w:val="Normale"/>
    <w:link w:val="IntestazioneCarattere"/>
    <w:uiPriority w:val="57"/>
    <w:semiHidden/>
    <w:rsid w:val="0016174F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uiPriority w:val="57"/>
    <w:semiHidden/>
    <w:rsid w:val="0016174F"/>
    <w:rPr>
      <w:sz w:val="24"/>
    </w:rPr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16174F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1">
    <w:name w:val="ECHR_Heading_1"/>
    <w:aliases w:val="Ju_H_I_Roman"/>
    <w:basedOn w:val="Titolo1"/>
    <w:next w:val="ECHRPara"/>
    <w:uiPriority w:val="19"/>
    <w:qFormat/>
    <w:rsid w:val="0016174F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,Head_2"/>
    <w:basedOn w:val="Titolo2"/>
    <w:next w:val="ECHRPara"/>
    <w:uiPriority w:val="20"/>
    <w:qFormat/>
    <w:rsid w:val="0016174F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16174F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character" w:customStyle="1" w:styleId="JUNAMES">
    <w:name w:val="JU_NAMES"/>
    <w:uiPriority w:val="17"/>
    <w:qFormat/>
    <w:rsid w:val="0016174F"/>
    <w:rPr>
      <w:caps w:val="0"/>
      <w:smallCaps/>
    </w:rPr>
  </w:style>
  <w:style w:type="paragraph" w:customStyle="1" w:styleId="ECHRDecisionBody">
    <w:name w:val="ECHR_Decision_Body"/>
    <w:aliases w:val="Ju_Judges"/>
    <w:basedOn w:val="Normale"/>
    <w:uiPriority w:val="11"/>
    <w:qFormat/>
    <w:rsid w:val="0016174F"/>
    <w:pPr>
      <w:tabs>
        <w:tab w:val="left" w:pos="567"/>
        <w:tab w:val="left" w:pos="1134"/>
      </w:tabs>
      <w:jc w:val="left"/>
    </w:p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16174F"/>
    <w:rPr>
      <w:rFonts w:asciiTheme="majorHAnsi" w:eastAsiaTheme="majorEastAsia" w:hAnsiTheme="majorHAnsi" w:cstheme="majorBidi"/>
      <w:b/>
      <w:bCs/>
      <w:color w:val="5F5F5F"/>
      <w:sz w:val="24"/>
    </w:rPr>
  </w:style>
  <w:style w:type="paragraph" w:customStyle="1" w:styleId="ECHRPara">
    <w:name w:val="ECHR_Para"/>
    <w:aliases w:val="Ju_Para,Left,First line:  0 cm,Para"/>
    <w:basedOn w:val="Normale"/>
    <w:link w:val="JuParaChar"/>
    <w:uiPriority w:val="12"/>
    <w:qFormat/>
    <w:rsid w:val="0016174F"/>
    <w:pPr>
      <w:ind w:firstLine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16174F"/>
    <w:rPr>
      <w:rFonts w:asciiTheme="majorHAnsi" w:eastAsiaTheme="majorEastAsia" w:hAnsiTheme="majorHAnsi" w:cstheme="majorBidi"/>
      <w:b/>
      <w:bCs/>
      <w:i/>
      <w:iCs/>
      <w:color w:val="777777"/>
      <w:sz w:val="24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16174F"/>
    <w:rPr>
      <w:rFonts w:asciiTheme="majorHAnsi" w:eastAsiaTheme="majorEastAsia" w:hAnsiTheme="majorHAnsi" w:cstheme="majorBidi"/>
      <w:b/>
      <w:bCs/>
      <w:color w:val="808080"/>
    </w:rPr>
  </w:style>
  <w:style w:type="character" w:styleId="Enfasidelicata">
    <w:name w:val="Subtle Emphasis"/>
    <w:uiPriority w:val="99"/>
    <w:semiHidden/>
    <w:qFormat/>
    <w:rsid w:val="0016174F"/>
    <w:rPr>
      <w:i/>
      <w:iCs/>
    </w:r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ECHRTitle1">
    <w:name w:val="ECHR_Title_1"/>
    <w:aliases w:val="Ju_H_Head,Title_L_1"/>
    <w:basedOn w:val="Normale"/>
    <w:next w:val="ECHRPara"/>
    <w:uiPriority w:val="18"/>
    <w:qFormat/>
    <w:rsid w:val="0016174F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character" w:styleId="Enfasicorsivo">
    <w:name w:val="Emphasis"/>
    <w:uiPriority w:val="99"/>
    <w:semiHidden/>
    <w:qFormat/>
    <w:rsid w:val="0016174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57"/>
    <w:semiHidden/>
    <w:rsid w:val="0016174F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PidipaginaCarattere">
    <w:name w:val="Piè di pagina Carattere"/>
    <w:basedOn w:val="Carpredefinitoparagrafo"/>
    <w:link w:val="Pidipagina"/>
    <w:uiPriority w:val="57"/>
    <w:semiHidden/>
    <w:rsid w:val="0016174F"/>
    <w:rPr>
      <w:sz w:val="24"/>
    </w:rPr>
  </w:style>
  <w:style w:type="character" w:styleId="Rimandonotaapidipagina">
    <w:name w:val="footnote reference"/>
    <w:basedOn w:val="Carpredefinitoparagrafo"/>
    <w:uiPriority w:val="99"/>
    <w:semiHidden/>
    <w:rsid w:val="0016174F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16174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6174F"/>
    <w:rPr>
      <w:rFonts w:eastAsiaTheme="minorEastAsia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16174F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16174F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16174F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16174F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16174F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16174F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16174F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16174F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16174F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16174F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16174F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16174F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16174F"/>
    <w:rPr>
      <w:smallCaps/>
    </w:rPr>
  </w:style>
  <w:style w:type="table" w:styleId="Grigliatabella">
    <w:name w:val="Table Grid"/>
    <w:basedOn w:val="Tabellanormale"/>
    <w:uiPriority w:val="59"/>
    <w:semiHidden/>
    <w:rsid w:val="0016174F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16174F"/>
    <w:pPr>
      <w:spacing w:before="120" w:after="60"/>
      <w:ind w:left="340" w:right="340" w:hanging="340"/>
    </w:pPr>
    <w:rPr>
      <w:color w:val="0D0D0D" w:themeColor="text1" w:themeTint="F2"/>
    </w:rPr>
  </w:style>
  <w:style w:type="paragraph" w:styleId="Sommario2">
    <w:name w:val="toc 2"/>
    <w:basedOn w:val="Normale"/>
    <w:next w:val="Normale"/>
    <w:autoRedefine/>
    <w:uiPriority w:val="99"/>
    <w:semiHidden/>
    <w:rsid w:val="0016174F"/>
    <w:pPr>
      <w:spacing w:after="60"/>
      <w:ind w:left="680" w:right="340" w:hanging="340"/>
    </w:pPr>
  </w:style>
  <w:style w:type="paragraph" w:styleId="Sommario3">
    <w:name w:val="toc 3"/>
    <w:basedOn w:val="Normale"/>
    <w:next w:val="Normale"/>
    <w:autoRedefine/>
    <w:uiPriority w:val="99"/>
    <w:semiHidden/>
    <w:rsid w:val="0016174F"/>
    <w:pPr>
      <w:spacing w:after="60"/>
      <w:ind w:left="1020" w:right="340" w:hanging="340"/>
    </w:pPr>
  </w:style>
  <w:style w:type="paragraph" w:styleId="Sommario4">
    <w:name w:val="toc 4"/>
    <w:basedOn w:val="Normale"/>
    <w:next w:val="Normale"/>
    <w:autoRedefine/>
    <w:uiPriority w:val="99"/>
    <w:semiHidden/>
    <w:rsid w:val="0016174F"/>
    <w:pPr>
      <w:tabs>
        <w:tab w:val="right" w:leader="dot" w:pos="9017"/>
      </w:tabs>
      <w:spacing w:after="60"/>
      <w:ind w:left="1361" w:right="340" w:hanging="340"/>
    </w:pPr>
  </w:style>
  <w:style w:type="paragraph" w:styleId="Sommario5">
    <w:name w:val="toc 5"/>
    <w:basedOn w:val="Normale"/>
    <w:next w:val="Normale"/>
    <w:autoRedefine/>
    <w:uiPriority w:val="99"/>
    <w:semiHidden/>
    <w:rsid w:val="0016174F"/>
    <w:pPr>
      <w:spacing w:after="60"/>
      <w:ind w:left="1701" w:right="340" w:hanging="340"/>
    </w:pPr>
  </w:style>
  <w:style w:type="paragraph" w:styleId="Titolosommario">
    <w:name w:val="TOC Heading"/>
    <w:basedOn w:val="Titolo1"/>
    <w:next w:val="Normale"/>
    <w:uiPriority w:val="99"/>
    <w:semiHidden/>
    <w:qFormat/>
    <w:rsid w:val="0016174F"/>
    <w:pPr>
      <w:outlineLvl w:val="9"/>
    </w:pPr>
    <w:rPr>
      <w:color w:val="474747" w:themeColor="accent3" w:themeShade="BF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16174F"/>
    <w:pPr>
      <w:spacing w:before="120"/>
    </w:pPr>
    <w:rPr>
      <w:rFonts w:asciiTheme="majorHAnsi" w:eastAsiaTheme="majorEastAsia" w:hAnsiTheme="majorHAnsi" w:cstheme="majorBidi"/>
      <w:b/>
      <w:bCs/>
      <w:color w:val="474747" w:themeColor="accent3" w:themeShade="BF"/>
      <w:szCs w:val="24"/>
    </w:rPr>
  </w:style>
  <w:style w:type="paragraph" w:customStyle="1" w:styleId="ECHRParaQuote">
    <w:name w:val="ECHR_Para_Quote"/>
    <w:aliases w:val="Ju_Quot,Para_Quote"/>
    <w:basedOn w:val="Normale"/>
    <w:qFormat/>
    <w:rsid w:val="0016174F"/>
    <w:pPr>
      <w:spacing w:before="120" w:after="120"/>
      <w:ind w:left="425" w:firstLine="142"/>
    </w:pPr>
    <w:rPr>
      <w:sz w:val="20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16174F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JuSigned">
    <w:name w:val="Ju_Signed"/>
    <w:basedOn w:val="Normale"/>
    <w:next w:val="JuParaLast"/>
    <w:uiPriority w:val="32"/>
    <w:qFormat/>
    <w:rsid w:val="0016174F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ParaLast">
    <w:name w:val="Ju_Para_Last"/>
    <w:basedOn w:val="Normale"/>
    <w:next w:val="ECHRPara"/>
    <w:uiPriority w:val="30"/>
    <w:qFormat/>
    <w:rsid w:val="0016174F"/>
    <w:pPr>
      <w:keepNext/>
      <w:keepLines/>
      <w:spacing w:before="240"/>
      <w:ind w:firstLine="284"/>
    </w:pPr>
  </w:style>
  <w:style w:type="paragraph" w:customStyle="1" w:styleId="JuCase">
    <w:name w:val="Ju_Case"/>
    <w:basedOn w:val="Normale"/>
    <w:next w:val="ECHRPara"/>
    <w:uiPriority w:val="10"/>
    <w:rsid w:val="0016174F"/>
    <w:pPr>
      <w:ind w:firstLine="284"/>
    </w:pPr>
    <w:rPr>
      <w:b/>
    </w:rPr>
  </w:style>
  <w:style w:type="paragraph" w:customStyle="1" w:styleId="JuList">
    <w:name w:val="Ju_List"/>
    <w:basedOn w:val="Normale"/>
    <w:uiPriority w:val="28"/>
    <w:qFormat/>
    <w:rsid w:val="0016174F"/>
    <w:pPr>
      <w:ind w:left="340" w:hanging="340"/>
    </w:pPr>
  </w:style>
  <w:style w:type="paragraph" w:customStyle="1" w:styleId="OpiTranslation">
    <w:name w:val="Opi_Translation"/>
    <w:basedOn w:val="Normale"/>
    <w:next w:val="OpiPara"/>
    <w:uiPriority w:val="40"/>
    <w:qFormat/>
    <w:rsid w:val="0016174F"/>
    <w:pPr>
      <w:jc w:val="center"/>
      <w:outlineLvl w:val="0"/>
    </w:pPr>
    <w:rPr>
      <w:i/>
    </w:rPr>
  </w:style>
  <w:style w:type="character" w:styleId="Numeropagina">
    <w:name w:val="page number"/>
    <w:uiPriority w:val="99"/>
    <w:semiHidden/>
    <w:rsid w:val="00E77CB3"/>
    <w:rPr>
      <w:rFonts w:ascii="Times New Roman" w:hAnsi="Times New Roman" w:cs="Times New Roman"/>
      <w:sz w:val="18"/>
    </w:rPr>
  </w:style>
  <w:style w:type="paragraph" w:customStyle="1" w:styleId="JuLista">
    <w:name w:val="Ju_List_a"/>
    <w:basedOn w:val="JuList"/>
    <w:uiPriority w:val="28"/>
    <w:qFormat/>
    <w:rsid w:val="0016174F"/>
    <w:pPr>
      <w:ind w:left="346" w:firstLine="0"/>
    </w:pPr>
  </w:style>
  <w:style w:type="paragraph" w:customStyle="1" w:styleId="JuListi">
    <w:name w:val="Ju_List_i"/>
    <w:basedOn w:val="Normale"/>
    <w:next w:val="JuLista"/>
    <w:uiPriority w:val="28"/>
    <w:qFormat/>
    <w:rsid w:val="0016174F"/>
    <w:pPr>
      <w:ind w:left="794"/>
    </w:pPr>
  </w:style>
  <w:style w:type="character" w:styleId="Rimandocommento">
    <w:name w:val="annotation reference"/>
    <w:uiPriority w:val="99"/>
    <w:semiHidden/>
    <w:rsid w:val="00E77CB3"/>
    <w:rPr>
      <w:sz w:val="16"/>
    </w:rPr>
  </w:style>
  <w:style w:type="paragraph" w:styleId="Testocommento">
    <w:name w:val="annotation text"/>
    <w:basedOn w:val="Normale"/>
    <w:link w:val="TestocommentoCarattere"/>
    <w:uiPriority w:val="99"/>
    <w:rsid w:val="00E77CB3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77CB3"/>
    <w:rPr>
      <w:rFonts w:eastAsiaTheme="minorEastAsia"/>
      <w:sz w:val="20"/>
    </w:rPr>
  </w:style>
  <w:style w:type="character" w:styleId="Rimandonotadichiusura">
    <w:name w:val="endnote reference"/>
    <w:uiPriority w:val="99"/>
    <w:semiHidden/>
    <w:rsid w:val="00E77CB3"/>
    <w:rPr>
      <w:rFonts w:ascii="Times New Roman" w:hAnsi="Times New Roman" w:cs="Times New Roman"/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E77CB3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77CB3"/>
    <w:rPr>
      <w:rFonts w:eastAsiaTheme="minorEastAsia"/>
      <w:sz w:val="20"/>
    </w:rPr>
  </w:style>
  <w:style w:type="character" w:styleId="Collegamentovisitato">
    <w:name w:val="FollowedHyperlink"/>
    <w:uiPriority w:val="99"/>
    <w:semiHidden/>
    <w:rsid w:val="00E77CB3"/>
    <w:rPr>
      <w:rFonts w:ascii="Times New Roman" w:hAnsi="Times New Roman" w:cs="Times New Roman"/>
      <w:color w:val="800080"/>
      <w:u w:val="single"/>
    </w:rPr>
  </w:style>
  <w:style w:type="paragraph" w:styleId="Puntoelenco">
    <w:name w:val="List Bullet"/>
    <w:basedOn w:val="Normale"/>
    <w:uiPriority w:val="99"/>
    <w:semiHidden/>
    <w:rsid w:val="00E77CB3"/>
    <w:pPr>
      <w:numPr>
        <w:numId w:val="1"/>
      </w:numPr>
    </w:pPr>
  </w:style>
  <w:style w:type="character" w:customStyle="1" w:styleId="JuNames0">
    <w:name w:val="Ju_Names"/>
    <w:rsid w:val="00E77CB3"/>
    <w:rPr>
      <w:rFonts w:ascii="Times New Roman" w:hAnsi="Times New Roman" w:cs="Times New Roman"/>
      <w:smallCaps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E77CB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77CB3"/>
    <w:rPr>
      <w:rFonts w:eastAsiaTheme="minorEastAsia"/>
      <w:b/>
      <w:bCs/>
      <w:sz w:val="20"/>
    </w:rPr>
  </w:style>
  <w:style w:type="paragraph" w:styleId="Mappadocumento">
    <w:name w:val="Document Map"/>
    <w:basedOn w:val="Normale"/>
    <w:link w:val="MappadocumentoCarattere"/>
    <w:uiPriority w:val="99"/>
    <w:semiHidden/>
    <w:rsid w:val="00E77CB3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E77CB3"/>
    <w:rPr>
      <w:rFonts w:ascii="Tahoma" w:eastAsiaTheme="minorEastAsia" w:hAnsi="Tahoma" w:cs="Tahoma"/>
      <w:sz w:val="20"/>
      <w:shd w:val="clear" w:color="auto" w:fill="000080"/>
    </w:rPr>
  </w:style>
  <w:style w:type="character" w:customStyle="1" w:styleId="JuITMark">
    <w:name w:val="Ju_ITMark"/>
    <w:basedOn w:val="Carpredefinitoparagrafo"/>
    <w:uiPriority w:val="38"/>
    <w:qFormat/>
    <w:rsid w:val="0016174F"/>
    <w:rPr>
      <w:vanish w:val="0"/>
      <w:color w:val="auto"/>
      <w:sz w:val="14"/>
    </w:r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16174F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16174F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numbering" w:styleId="111111">
    <w:name w:val="Outline List 2"/>
    <w:basedOn w:val="Nessunelenco"/>
    <w:uiPriority w:val="99"/>
    <w:semiHidden/>
    <w:rsid w:val="00E77CB3"/>
    <w:pPr>
      <w:numPr>
        <w:numId w:val="2"/>
      </w:numPr>
    </w:pPr>
  </w:style>
  <w:style w:type="numbering" w:styleId="1ai">
    <w:name w:val="Outline List 1"/>
    <w:basedOn w:val="Nessunelenco"/>
    <w:uiPriority w:val="99"/>
    <w:semiHidden/>
    <w:rsid w:val="00E77CB3"/>
    <w:pPr>
      <w:numPr>
        <w:numId w:val="3"/>
      </w:numPr>
    </w:pPr>
  </w:style>
  <w:style w:type="numbering" w:styleId="ArticoloSezione">
    <w:name w:val="Outline List 3"/>
    <w:basedOn w:val="Nessunelenco"/>
    <w:uiPriority w:val="99"/>
    <w:semiHidden/>
    <w:rsid w:val="00E77CB3"/>
    <w:pPr>
      <w:numPr>
        <w:numId w:val="4"/>
      </w:numPr>
    </w:pPr>
  </w:style>
  <w:style w:type="paragraph" w:styleId="Bibliografia">
    <w:name w:val="Bibliography"/>
    <w:basedOn w:val="Normale"/>
    <w:next w:val="Normale"/>
    <w:uiPriority w:val="99"/>
    <w:semiHidden/>
    <w:unhideWhenUsed/>
    <w:rsid w:val="00E77CB3"/>
  </w:style>
  <w:style w:type="paragraph" w:styleId="Testodelblocco">
    <w:name w:val="Block Text"/>
    <w:basedOn w:val="Normale"/>
    <w:uiPriority w:val="99"/>
    <w:semiHidden/>
    <w:rsid w:val="00E77CB3"/>
    <w:pPr>
      <w:pBdr>
        <w:top w:val="single" w:sz="2" w:space="10" w:color="0072BC" w:themeColor="accent1" w:frame="1"/>
        <w:left w:val="single" w:sz="2" w:space="10" w:color="0072BC" w:themeColor="accent1" w:frame="1"/>
        <w:bottom w:val="single" w:sz="2" w:space="10" w:color="0072BC" w:themeColor="accent1" w:frame="1"/>
        <w:right w:val="single" w:sz="2" w:space="10" w:color="0072BC" w:themeColor="accent1" w:frame="1"/>
      </w:pBdr>
      <w:ind w:left="1152" w:right="1152"/>
    </w:pPr>
    <w:rPr>
      <w:i/>
      <w:iCs/>
      <w:color w:val="0072BC" w:themeColor="accent1"/>
    </w:rPr>
  </w:style>
  <w:style w:type="paragraph" w:styleId="Corpotesto">
    <w:name w:val="Body Text"/>
    <w:basedOn w:val="Normale"/>
    <w:link w:val="CorpotestoCarattere"/>
    <w:uiPriority w:val="99"/>
    <w:semiHidden/>
    <w:rsid w:val="00E77CB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77CB3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E77CB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E77CB3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E77CB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E77CB3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E77CB3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E77CB3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E77CB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E77CB3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E77CB3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E77CB3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E77CB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E77CB3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E77CB3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E77CB3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E77CB3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E77CB3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E77CB3"/>
    <w:rPr>
      <w:rFonts w:eastAsiaTheme="minorEastAsia"/>
      <w:sz w:val="24"/>
    </w:rPr>
  </w:style>
  <w:style w:type="table" w:styleId="Grigliaacolori">
    <w:name w:val="Colorful Grid"/>
    <w:basedOn w:val="Tabellanormale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Elencoscuro">
    <w:name w:val="Dark List"/>
    <w:basedOn w:val="Tabellanormale"/>
    <w:uiPriority w:val="99"/>
    <w:semiHidden/>
    <w:rsid w:val="00E77CB3"/>
    <w:rPr>
      <w:color w:val="0072BC" w:themeColor="background1"/>
      <w:lang w:val="fr-FR" w:eastAsia="fr-FR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99"/>
    <w:semiHidden/>
    <w:rsid w:val="00E77CB3"/>
    <w:rPr>
      <w:color w:val="0072BC" w:themeColor="background1"/>
      <w:lang w:val="fr-FR" w:eastAsia="fr-FR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99"/>
    <w:semiHidden/>
    <w:rsid w:val="00E77CB3"/>
    <w:rPr>
      <w:color w:val="0072BC" w:themeColor="background1"/>
      <w:lang w:val="fr-FR" w:eastAsia="fr-FR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99"/>
    <w:semiHidden/>
    <w:rsid w:val="00E77CB3"/>
    <w:rPr>
      <w:color w:val="0072BC" w:themeColor="background1"/>
      <w:lang w:val="fr-FR" w:eastAsia="fr-FR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99"/>
    <w:semiHidden/>
    <w:rsid w:val="00E77CB3"/>
    <w:rPr>
      <w:color w:val="0072BC" w:themeColor="background1"/>
      <w:lang w:val="fr-FR" w:eastAsia="fr-FR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99"/>
    <w:semiHidden/>
    <w:rsid w:val="00E77CB3"/>
    <w:rPr>
      <w:color w:val="0072BC" w:themeColor="background1"/>
      <w:lang w:val="fr-FR" w:eastAsia="fr-FR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99"/>
    <w:semiHidden/>
    <w:rsid w:val="00E77CB3"/>
    <w:rPr>
      <w:color w:val="0072BC" w:themeColor="background1"/>
      <w:lang w:val="fr-FR" w:eastAsia="fr-FR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E77CB3"/>
  </w:style>
  <w:style w:type="character" w:customStyle="1" w:styleId="DataCarattere">
    <w:name w:val="Data Carattere"/>
    <w:basedOn w:val="Carpredefinitoparagrafo"/>
    <w:link w:val="Data"/>
    <w:uiPriority w:val="99"/>
    <w:semiHidden/>
    <w:rsid w:val="00E77CB3"/>
    <w:rPr>
      <w:rFonts w:eastAsiaTheme="minorEastAsia"/>
      <w:sz w:val="24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E77CB3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E77CB3"/>
    <w:rPr>
      <w:rFonts w:eastAsiaTheme="minorEastAsia"/>
      <w:sz w:val="24"/>
    </w:rPr>
  </w:style>
  <w:style w:type="paragraph" w:styleId="Indirizzodestinatario">
    <w:name w:val="envelope address"/>
    <w:basedOn w:val="Normale"/>
    <w:uiPriority w:val="99"/>
    <w:semiHidden/>
    <w:rsid w:val="00E77CB3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E77CB3"/>
    <w:rPr>
      <w:rFonts w:asciiTheme="majorHAnsi" w:eastAsiaTheme="majorEastAsia" w:hAnsiTheme="majorHAnsi" w:cstheme="majorBidi"/>
      <w:sz w:val="20"/>
      <w:szCs w:val="20"/>
    </w:rPr>
  </w:style>
  <w:style w:type="character" w:styleId="AcronimoHTML">
    <w:name w:val="HTML Acronym"/>
    <w:basedOn w:val="Carpredefinitoparagrafo"/>
    <w:uiPriority w:val="99"/>
    <w:semiHidden/>
    <w:rsid w:val="00E77CB3"/>
  </w:style>
  <w:style w:type="paragraph" w:styleId="IndirizzoHTML">
    <w:name w:val="HTML Address"/>
    <w:basedOn w:val="Normale"/>
    <w:link w:val="IndirizzoHTMLCarattere"/>
    <w:uiPriority w:val="99"/>
    <w:semiHidden/>
    <w:rsid w:val="00E77CB3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E77CB3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E77CB3"/>
    <w:rPr>
      <w:i/>
      <w:iCs/>
    </w:rPr>
  </w:style>
  <w:style w:type="character" w:styleId="CodiceHTML">
    <w:name w:val="HTML Code"/>
    <w:basedOn w:val="Carpredefinitoparagrafo"/>
    <w:uiPriority w:val="99"/>
    <w:semiHidden/>
    <w:rsid w:val="00E77CB3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E77CB3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E77CB3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E77CB3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77CB3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E77CB3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E77CB3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E77CB3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E77CB3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E77CB3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E77CB3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E77CB3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E77CB3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E77CB3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E77CB3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E77CB3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E77CB3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E77CB3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99"/>
    <w:semiHidden/>
    <w:rsid w:val="00E77CB3"/>
    <w:rPr>
      <w:color w:val="000000" w:themeColor="text1" w:themeShade="BF"/>
      <w:lang w:val="fr-FR" w:eastAsia="fr-FR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99"/>
    <w:semiHidden/>
    <w:rsid w:val="00E77CB3"/>
    <w:rPr>
      <w:color w:val="00548C" w:themeColor="accent1" w:themeShade="BF"/>
      <w:lang w:val="fr-FR" w:eastAsia="fr-FR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99"/>
    <w:semiHidden/>
    <w:rsid w:val="00E77CB3"/>
    <w:rPr>
      <w:color w:val="8F0000" w:themeColor="accent2" w:themeShade="BF"/>
      <w:lang w:val="fr-FR" w:eastAsia="fr-FR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99"/>
    <w:semiHidden/>
    <w:rsid w:val="00E77CB3"/>
    <w:rPr>
      <w:color w:val="474747" w:themeColor="accent3" w:themeShade="BF"/>
      <w:lang w:val="fr-FR" w:eastAsia="fr-FR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99"/>
    <w:semiHidden/>
    <w:rsid w:val="00E77CB3"/>
    <w:rPr>
      <w:color w:val="707070" w:themeColor="accent4" w:themeShade="BF"/>
      <w:lang w:val="fr-FR" w:eastAsia="fr-FR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99"/>
    <w:semiHidden/>
    <w:rsid w:val="00E77CB3"/>
    <w:rPr>
      <w:color w:val="474747" w:themeColor="accent5" w:themeShade="BF"/>
      <w:lang w:val="fr-FR" w:eastAsia="fr-FR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99"/>
    <w:semiHidden/>
    <w:rsid w:val="00E77CB3"/>
    <w:rPr>
      <w:color w:val="393939" w:themeColor="accent6" w:themeShade="BF"/>
      <w:lang w:val="fr-FR" w:eastAsia="fr-FR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E77CB3"/>
  </w:style>
  <w:style w:type="paragraph" w:styleId="Elenco">
    <w:name w:val="List"/>
    <w:basedOn w:val="Normale"/>
    <w:uiPriority w:val="99"/>
    <w:semiHidden/>
    <w:rsid w:val="00E77CB3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E77CB3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E77CB3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E77CB3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E77CB3"/>
    <w:pPr>
      <w:ind w:left="1415" w:hanging="283"/>
      <w:contextualSpacing/>
    </w:pPr>
  </w:style>
  <w:style w:type="paragraph" w:styleId="Puntoelenco2">
    <w:name w:val="List Bullet 2"/>
    <w:basedOn w:val="Normale"/>
    <w:uiPriority w:val="99"/>
    <w:semiHidden/>
    <w:rsid w:val="00E77CB3"/>
    <w:pPr>
      <w:numPr>
        <w:numId w:val="5"/>
      </w:numPr>
      <w:contextualSpacing/>
    </w:pPr>
  </w:style>
  <w:style w:type="paragraph" w:styleId="Puntoelenco3">
    <w:name w:val="List Bullet 3"/>
    <w:basedOn w:val="Normale"/>
    <w:uiPriority w:val="99"/>
    <w:semiHidden/>
    <w:rsid w:val="00E77CB3"/>
    <w:pPr>
      <w:numPr>
        <w:numId w:val="6"/>
      </w:numPr>
      <w:contextualSpacing/>
    </w:pPr>
  </w:style>
  <w:style w:type="paragraph" w:styleId="Puntoelenco4">
    <w:name w:val="List Bullet 4"/>
    <w:basedOn w:val="Normale"/>
    <w:uiPriority w:val="99"/>
    <w:semiHidden/>
    <w:rsid w:val="00E77CB3"/>
    <w:pPr>
      <w:numPr>
        <w:numId w:val="7"/>
      </w:numPr>
      <w:contextualSpacing/>
    </w:pPr>
  </w:style>
  <w:style w:type="paragraph" w:styleId="Puntoelenco5">
    <w:name w:val="List Bullet 5"/>
    <w:basedOn w:val="Normale"/>
    <w:uiPriority w:val="99"/>
    <w:semiHidden/>
    <w:rsid w:val="00E77CB3"/>
    <w:pPr>
      <w:numPr>
        <w:numId w:val="8"/>
      </w:numPr>
      <w:contextualSpacing/>
    </w:pPr>
  </w:style>
  <w:style w:type="paragraph" w:styleId="Elencocontinua">
    <w:name w:val="List Continue"/>
    <w:basedOn w:val="Normale"/>
    <w:uiPriority w:val="99"/>
    <w:semiHidden/>
    <w:rsid w:val="00E77CB3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E77CB3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E77CB3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E77CB3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E77CB3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rsid w:val="00E77CB3"/>
    <w:pPr>
      <w:numPr>
        <w:numId w:val="9"/>
      </w:numPr>
      <w:contextualSpacing/>
    </w:pPr>
  </w:style>
  <w:style w:type="paragraph" w:styleId="Numeroelenco2">
    <w:name w:val="List Number 2"/>
    <w:basedOn w:val="Normale"/>
    <w:uiPriority w:val="99"/>
    <w:semiHidden/>
    <w:rsid w:val="00E77CB3"/>
    <w:pPr>
      <w:numPr>
        <w:numId w:val="10"/>
      </w:numPr>
      <w:contextualSpacing/>
    </w:pPr>
  </w:style>
  <w:style w:type="paragraph" w:styleId="Numeroelenco3">
    <w:name w:val="List Number 3"/>
    <w:basedOn w:val="Normale"/>
    <w:uiPriority w:val="99"/>
    <w:semiHidden/>
    <w:rsid w:val="00E77CB3"/>
    <w:pPr>
      <w:numPr>
        <w:numId w:val="11"/>
      </w:numPr>
      <w:contextualSpacing/>
    </w:pPr>
  </w:style>
  <w:style w:type="paragraph" w:styleId="Numeroelenco4">
    <w:name w:val="List Number 4"/>
    <w:basedOn w:val="Normale"/>
    <w:uiPriority w:val="99"/>
    <w:semiHidden/>
    <w:rsid w:val="00E77CB3"/>
    <w:pPr>
      <w:numPr>
        <w:numId w:val="12"/>
      </w:numPr>
      <w:contextualSpacing/>
    </w:pPr>
  </w:style>
  <w:style w:type="paragraph" w:styleId="Numeroelenco5">
    <w:name w:val="List Number 5"/>
    <w:basedOn w:val="Normale"/>
    <w:uiPriority w:val="99"/>
    <w:semiHidden/>
    <w:rsid w:val="00E77CB3"/>
    <w:pPr>
      <w:numPr>
        <w:numId w:val="13"/>
      </w:numPr>
      <w:contextualSpacing/>
    </w:pPr>
  </w:style>
  <w:style w:type="paragraph" w:styleId="Testomacro">
    <w:name w:val="macro"/>
    <w:link w:val="TestomacroCarattere"/>
    <w:uiPriority w:val="99"/>
    <w:semiHidden/>
    <w:rsid w:val="00E77CB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E77CB3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E77CB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E77CB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E77CB3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E77CB3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E77CB3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E77CB3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E77CB3"/>
    <w:rPr>
      <w:color w:val="808080"/>
    </w:rPr>
  </w:style>
  <w:style w:type="paragraph" w:styleId="Testonormale">
    <w:name w:val="Plain Text"/>
    <w:basedOn w:val="Normale"/>
    <w:link w:val="TestonormaleCarattere"/>
    <w:uiPriority w:val="99"/>
    <w:semiHidden/>
    <w:rsid w:val="00E77CB3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E77CB3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E77CB3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E77CB3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E77CB3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E77CB3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rsid w:val="00E77CB3"/>
    <w:pPr>
      <w:jc w:val="both"/>
    </w:pPr>
    <w:rPr>
      <w:lang w:val="fr-FR" w:eastAsia="fr-FR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rsid w:val="00E77CB3"/>
    <w:pPr>
      <w:jc w:val="both"/>
    </w:pPr>
    <w:rPr>
      <w:lang w:val="fr-FR" w:eastAsia="fr-FR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rsid w:val="00E77CB3"/>
    <w:pPr>
      <w:jc w:val="both"/>
    </w:pPr>
    <w:rPr>
      <w:lang w:val="fr-FR" w:eastAsia="fr-FR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rsid w:val="00E77CB3"/>
    <w:pPr>
      <w:jc w:val="both"/>
    </w:pPr>
    <w:rPr>
      <w:color w:val="000080"/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rsid w:val="00E77CB3"/>
    <w:pPr>
      <w:jc w:val="both"/>
    </w:pPr>
    <w:rPr>
      <w:color w:val="FFFFFF"/>
      <w:lang w:val="fr-FR" w:eastAsia="fr-FR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rsid w:val="00E77CB3"/>
    <w:pPr>
      <w:jc w:val="both"/>
    </w:pPr>
    <w:rPr>
      <w:lang w:val="fr-FR" w:eastAsia="fr-FR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rsid w:val="00E77CB3"/>
    <w:pPr>
      <w:jc w:val="both"/>
    </w:pPr>
    <w:rPr>
      <w:b/>
      <w:bCs/>
      <w:lang w:val="fr-FR" w:eastAsia="fr-FR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rsid w:val="00E77CB3"/>
    <w:pPr>
      <w:jc w:val="both"/>
    </w:pPr>
    <w:rPr>
      <w:b/>
      <w:bCs/>
      <w:lang w:val="fr-FR" w:eastAsia="fr-FR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rsid w:val="00E77CB3"/>
    <w:pPr>
      <w:jc w:val="both"/>
    </w:pPr>
    <w:rPr>
      <w:b/>
      <w:bCs/>
      <w:lang w:val="fr-FR" w:eastAsia="fr-FR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rsid w:val="00E77CB3"/>
    <w:pPr>
      <w:jc w:val="both"/>
    </w:pPr>
    <w:rPr>
      <w:lang w:val="fr-FR" w:eastAsia="fr-FR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rsid w:val="00E77CB3"/>
    <w:pPr>
      <w:jc w:val="both"/>
    </w:pPr>
    <w:rPr>
      <w:lang w:val="fr-FR" w:eastAsia="fr-FR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rsid w:val="00E77CB3"/>
    <w:pPr>
      <w:jc w:val="both"/>
    </w:pPr>
    <w:rPr>
      <w:lang w:val="fr-FR" w:eastAsia="fr-FR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rsid w:val="00E77CB3"/>
    <w:pPr>
      <w:jc w:val="both"/>
    </w:pPr>
    <w:rPr>
      <w:lang w:val="fr-FR" w:eastAsia="fr-FR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rsid w:val="00E77CB3"/>
    <w:pPr>
      <w:jc w:val="both"/>
    </w:pPr>
    <w:rPr>
      <w:lang w:val="fr-FR" w:eastAsia="fr-FR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rsid w:val="00E77CB3"/>
    <w:pPr>
      <w:jc w:val="both"/>
    </w:pPr>
    <w:rPr>
      <w:lang w:val="fr-FR" w:eastAsia="fr-FR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rsid w:val="00E77CB3"/>
    <w:pPr>
      <w:jc w:val="both"/>
    </w:pPr>
    <w:rPr>
      <w:b/>
      <w:bCs/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rsid w:val="00E77CB3"/>
    <w:pPr>
      <w:jc w:val="both"/>
    </w:pPr>
    <w:rPr>
      <w:lang w:val="fr-FR" w:eastAsia="fr-FR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rsid w:val="00E77CB3"/>
    <w:pPr>
      <w:jc w:val="both"/>
    </w:pPr>
    <w:rPr>
      <w:lang w:val="fr-FR" w:eastAsia="fr-FR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rsid w:val="00E77CB3"/>
    <w:pPr>
      <w:jc w:val="both"/>
    </w:pPr>
    <w:rPr>
      <w:lang w:val="fr-FR" w:eastAsia="fr-FR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rsid w:val="00E77CB3"/>
    <w:pPr>
      <w:jc w:val="both"/>
    </w:pPr>
    <w:rPr>
      <w:lang w:val="fr-FR" w:eastAsia="fr-FR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rsid w:val="00E77CB3"/>
    <w:pPr>
      <w:jc w:val="both"/>
    </w:pPr>
    <w:rPr>
      <w:lang w:val="fr-FR" w:eastAsia="fr-FR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E77CB3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E77CB3"/>
  </w:style>
  <w:style w:type="table" w:styleId="Tabellaprofessionale">
    <w:name w:val="Table Professional"/>
    <w:basedOn w:val="Tabellanormale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rsid w:val="00E77CB3"/>
    <w:pPr>
      <w:jc w:val="both"/>
    </w:pPr>
    <w:rPr>
      <w:lang w:val="fr-FR" w:eastAsia="fr-FR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rsid w:val="00E77CB3"/>
    <w:pPr>
      <w:jc w:val="both"/>
    </w:pPr>
    <w:rPr>
      <w:lang w:val="fr-FR" w:eastAsia="fr-FR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rsid w:val="00E77CB3"/>
    <w:pPr>
      <w:jc w:val="both"/>
    </w:pPr>
    <w:rPr>
      <w:lang w:val="fr-FR" w:eastAsia="fr-FR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rsid w:val="00E77CB3"/>
    <w:pPr>
      <w:jc w:val="both"/>
    </w:pPr>
    <w:rPr>
      <w:lang w:val="fr-FR" w:eastAsia="fr-FR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rsid w:val="00E77CB3"/>
    <w:pPr>
      <w:jc w:val="both"/>
    </w:pPr>
    <w:rPr>
      <w:lang w:val="fr-FR" w:eastAsia="fr-FR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rsid w:val="00E77CB3"/>
    <w:pPr>
      <w:jc w:val="both"/>
    </w:pPr>
    <w:rPr>
      <w:lang w:val="fr-FR" w:eastAsia="fr-FR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E77CB3"/>
    <w:pPr>
      <w:spacing w:after="100"/>
      <w:ind w:left="1200"/>
    </w:pPr>
  </w:style>
  <w:style w:type="paragraph" w:styleId="Sommario7">
    <w:name w:val="toc 7"/>
    <w:basedOn w:val="Normale"/>
    <w:next w:val="Normale"/>
    <w:autoRedefine/>
    <w:uiPriority w:val="99"/>
    <w:semiHidden/>
    <w:rsid w:val="00E77CB3"/>
    <w:pPr>
      <w:spacing w:after="100"/>
      <w:ind w:left="1440"/>
    </w:pPr>
  </w:style>
  <w:style w:type="paragraph" w:styleId="Sommario8">
    <w:name w:val="toc 8"/>
    <w:basedOn w:val="Normale"/>
    <w:next w:val="Normale"/>
    <w:autoRedefine/>
    <w:uiPriority w:val="99"/>
    <w:semiHidden/>
    <w:rsid w:val="00E77CB3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E77CB3"/>
    <w:pPr>
      <w:spacing w:after="100"/>
      <w:ind w:left="1920"/>
    </w:pPr>
  </w:style>
  <w:style w:type="paragraph" w:customStyle="1" w:styleId="DecHTitle">
    <w:name w:val="Dec_H_Title"/>
    <w:basedOn w:val="ECHRTitleCentre1"/>
    <w:uiPriority w:val="7"/>
    <w:rsid w:val="0016174F"/>
  </w:style>
  <w:style w:type="paragraph" w:customStyle="1" w:styleId="JuCourt">
    <w:name w:val="Ju_Court"/>
    <w:basedOn w:val="Normale"/>
    <w:next w:val="Normale"/>
    <w:uiPriority w:val="16"/>
    <w:qFormat/>
    <w:rsid w:val="0016174F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DecList">
    <w:name w:val="Dec_List"/>
    <w:basedOn w:val="Normale"/>
    <w:uiPriority w:val="9"/>
    <w:rsid w:val="0016174F"/>
    <w:pPr>
      <w:spacing w:before="240"/>
      <w:ind w:left="284"/>
    </w:pPr>
  </w:style>
  <w:style w:type="paragraph" w:customStyle="1" w:styleId="OpiH1">
    <w:name w:val="Opi_H_1"/>
    <w:basedOn w:val="ECHRHeading2"/>
    <w:uiPriority w:val="42"/>
    <w:qFormat/>
    <w:rsid w:val="0016174F"/>
    <w:pPr>
      <w:ind w:left="635" w:hanging="357"/>
      <w:outlineLvl w:val="2"/>
    </w:pPr>
  </w:style>
  <w:style w:type="paragraph" w:customStyle="1" w:styleId="OpiHa0">
    <w:name w:val="Opi_H_a"/>
    <w:basedOn w:val="ECHRHeading3"/>
    <w:uiPriority w:val="43"/>
    <w:qFormat/>
    <w:rsid w:val="0016174F"/>
    <w:pPr>
      <w:ind w:left="833" w:hanging="357"/>
      <w:outlineLvl w:val="3"/>
    </w:pPr>
    <w:rPr>
      <w:b/>
      <w:i w:val="0"/>
      <w:sz w:val="20"/>
    </w:rPr>
  </w:style>
  <w:style w:type="paragraph" w:customStyle="1" w:styleId="OpiHi">
    <w:name w:val="Opi_H_i"/>
    <w:basedOn w:val="ECHRHeading4"/>
    <w:uiPriority w:val="44"/>
    <w:qFormat/>
    <w:rsid w:val="0016174F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e"/>
    <w:semiHidden/>
    <w:qFormat/>
    <w:rsid w:val="0016174F"/>
    <w:rPr>
      <w:color w:val="00B050"/>
    </w:rPr>
  </w:style>
  <w:style w:type="paragraph" w:styleId="Revisione">
    <w:name w:val="Revision"/>
    <w:hidden/>
    <w:uiPriority w:val="99"/>
    <w:semiHidden/>
    <w:rsid w:val="001F576E"/>
    <w:rPr>
      <w:rFonts w:eastAsiaTheme="minorEastAsia"/>
      <w:sz w:val="24"/>
    </w:rPr>
  </w:style>
  <w:style w:type="character" w:customStyle="1" w:styleId="JuParaChar">
    <w:name w:val="Ju_Para Char"/>
    <w:aliases w:val="ECHR_Para Char"/>
    <w:basedOn w:val="Carpredefinitoparagrafo"/>
    <w:link w:val="ECHRPara"/>
    <w:uiPriority w:val="12"/>
    <w:rsid w:val="00687120"/>
    <w:rPr>
      <w:rFonts w:eastAsiaTheme="minorEastAsia"/>
      <w:sz w:val="24"/>
    </w:rPr>
  </w:style>
  <w:style w:type="character" w:customStyle="1" w:styleId="JuH1Char">
    <w:name w:val="Ju_H_1. Char"/>
    <w:link w:val="ECHRHeading3"/>
    <w:uiPriority w:val="21"/>
    <w:rsid w:val="003D6314"/>
    <w:rPr>
      <w:rFonts w:asciiTheme="majorHAnsi" w:eastAsiaTheme="majorEastAsia" w:hAnsiTheme="majorHAnsi" w:cstheme="majorBidi"/>
      <w:bCs/>
      <w:i/>
      <w:sz w:val="24"/>
    </w:rPr>
  </w:style>
  <w:style w:type="character" w:customStyle="1" w:styleId="JuParaCar">
    <w:name w:val="Ju_Para Car"/>
    <w:uiPriority w:val="12"/>
    <w:rsid w:val="00667EEA"/>
    <w:rPr>
      <w:rFonts w:eastAsiaTheme="minorEastAsia"/>
      <w:sz w:val="24"/>
    </w:rPr>
  </w:style>
  <w:style w:type="character" w:customStyle="1" w:styleId="sb8d990e2">
    <w:name w:val="sb8d990e2"/>
    <w:basedOn w:val="Carpredefinitoparagrafo"/>
    <w:rsid w:val="001D1650"/>
  </w:style>
  <w:style w:type="character" w:customStyle="1" w:styleId="ju-005fpara-002cleft-002cfirst-0020line-003a-0020-00200-0020cm--char">
    <w:name w:val="ju-005fpara-002cleft-002cfirst-0020line-003a-0020-00200-0020cm--char"/>
    <w:basedOn w:val="Carpredefinitoparagrafo"/>
    <w:rsid w:val="00A03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52DA8-BFA1-4B7C-A7DA-62E40EB366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9415829-875F-46D1-BF0F-EA139AF094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A3F857-FDA9-4A8D-9592-E78EC4DD51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7EC51C-C11D-4987-B408-9420A48DA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6182</Words>
  <Characters>35238</Characters>
  <Application>Microsoft Office Word</Application>
  <DocSecurity>0</DocSecurity>
  <Lines>293</Lines>
  <Paragraphs>82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ECHR</vt:lpstr>
    </vt:vector>
  </TitlesOfParts>
  <Manager/>
  <Company/>
  <LinksUpToDate>false</LinksUpToDate>
  <CharactersWithSpaces>41338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DJF</dc:subject>
  <dc:creator/>
  <cp:lastModifiedBy/>
  <cp:revision>1</cp:revision>
  <cp:lastPrinted>2015-09-04T12:32:00Z</cp:lastPrinted>
  <dcterms:created xsi:type="dcterms:W3CDTF">2015-10-22T13:53:00Z</dcterms:created>
  <dcterms:modified xsi:type="dcterms:W3CDTF">2015-10-22T13:53:00Z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0x010100558EB02BDB9E204AB350EDD385B68E10</vt:lpwstr>
  </property>
</Properties>
</file>